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354"/>
        <w:gridCol w:w="2538"/>
        <w:gridCol w:w="19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8"/>
                <w:szCs w:val="28"/>
              </w:rPr>
              <w:t>院内消息标准化接口（HL7 V3）</w:t>
            </w: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注：接收类的接口业务系统通过解析平台推送的HL7 V3消息，并自行存储。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8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Cs w:val="21"/>
              </w:rPr>
              <w:t>次序</w:t>
            </w:r>
          </w:p>
        </w:tc>
        <w:tc>
          <w:tcPr>
            <w:tcW w:w="1968" w:type="pct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Cs w:val="21"/>
              </w:rPr>
              <w:t>接口名称</w:t>
            </w:r>
          </w:p>
        </w:tc>
        <w:tc>
          <w:tcPr>
            <w:tcW w:w="1489" w:type="pct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Cs w:val="21"/>
              </w:rPr>
              <w:t>应用场景</w:t>
            </w:r>
          </w:p>
        </w:tc>
        <w:tc>
          <w:tcPr>
            <w:tcW w:w="1157" w:type="pct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Cs w:val="21"/>
              </w:rPr>
              <w:t xml:space="preserve">对应接口文档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1.</w:t>
            </w:r>
          </w:p>
        </w:tc>
        <w:tc>
          <w:tcPr>
            <w:tcW w:w="1968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患者信息新增服务（接收）</w:t>
            </w:r>
          </w:p>
        </w:tc>
        <w:tc>
          <w:tcPr>
            <w:tcW w:w="1489" w:type="pct"/>
            <w:vMerge w:val="restar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通过标准接口从平台接收指定</w:t>
            </w:r>
            <w:r>
              <w:rPr>
                <w:rFonts w:ascii="新宋体" w:hAnsi="新宋体" w:eastAsia="新宋体" w:cs="宋体"/>
                <w:color w:val="000000"/>
                <w:kern w:val="0"/>
                <w:szCs w:val="21"/>
              </w:rPr>
              <w:t>ID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列表的住院患者基本信息；</w:t>
            </w:r>
          </w:p>
        </w:tc>
        <w:tc>
          <w:tcPr>
            <w:tcW w:w="1157" w:type="pct"/>
            <w:vMerge w:val="restar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1-患者信息管理服务定义书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2.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患者信息更新服务（接收）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3.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检查申请消息新增服务（接收）</w:t>
            </w:r>
          </w:p>
        </w:tc>
        <w:tc>
          <w:tcPr>
            <w:tcW w:w="1489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接收指定定</w:t>
            </w:r>
            <w:r>
              <w:rPr>
                <w:rFonts w:ascii="新宋体" w:hAnsi="新宋体" w:eastAsia="新宋体" w:cs="宋体"/>
                <w:color w:val="000000"/>
                <w:kern w:val="0"/>
                <w:szCs w:val="21"/>
              </w:rPr>
              <w:t>ID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患者检查申请单新增、更新和取消及退费相关信息</w:t>
            </w:r>
          </w:p>
        </w:tc>
        <w:tc>
          <w:tcPr>
            <w:tcW w:w="1157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3-申请单信息交互服务定义书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4.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检查申请信息更新服务（接收）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5.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取消检查申请单服务（接收）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6.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检查退费服务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7.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检查报告回传服务（推送）</w:t>
            </w:r>
          </w:p>
        </w:tc>
        <w:tc>
          <w:tcPr>
            <w:tcW w:w="14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内镜报告生成后，向平台主动推送内镜报告信息　</w:t>
            </w:r>
          </w:p>
        </w:tc>
        <w:tc>
          <w:tcPr>
            <w:tcW w:w="115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5-结果、状态信息交互服务定义书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8.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检查预约状态信息新增服务（接收）</w:t>
            </w:r>
          </w:p>
        </w:tc>
        <w:tc>
          <w:tcPr>
            <w:tcW w:w="1489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从平台获取指定ID患者内镜检查预约信息　　</w:t>
            </w:r>
          </w:p>
        </w:tc>
        <w:tc>
          <w:tcPr>
            <w:tcW w:w="1157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6-预约信息交互服务定义书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9.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检查预约状态信息更新服务（接收）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10.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医疗卫生机构信息注册服务（接收）</w:t>
            </w:r>
          </w:p>
        </w:tc>
        <w:tc>
          <w:tcPr>
            <w:tcW w:w="1489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医疗机构和科室信息同步</w:t>
            </w:r>
          </w:p>
        </w:tc>
        <w:tc>
          <w:tcPr>
            <w:tcW w:w="1157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7-医疗卫生机构管理服务定义书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11.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医疗卫生机构信息更新服务（接收）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12.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医疗卫生机构信息删除服务（接收）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13.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医疗卫生人员信息注册服务（接收）</w:t>
            </w:r>
          </w:p>
        </w:tc>
        <w:tc>
          <w:tcPr>
            <w:tcW w:w="1489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人员信息字典同步</w:t>
            </w:r>
          </w:p>
        </w:tc>
        <w:tc>
          <w:tcPr>
            <w:tcW w:w="1157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8-医疗卫生人员管理服务定义书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14.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医疗卫生人员信息更新服务（接收）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15.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医疗卫生人员信息删除服务（接收）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16.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术语内容注册服务（接收）</w:t>
            </w:r>
          </w:p>
        </w:tc>
        <w:tc>
          <w:tcPr>
            <w:tcW w:w="1489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主数据（基础数据字典和术语字典信息同步），需要同步的主数据范围：诊断字典、手术字典、医嘱项目字典、检查字典、检验字典、药品字典等</w:t>
            </w:r>
          </w:p>
        </w:tc>
        <w:tc>
          <w:tcPr>
            <w:tcW w:w="1157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000000"/>
                <w:kern w:val="0"/>
                <w:szCs w:val="21"/>
              </w:rPr>
            </w:pP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10-</w:t>
            </w:r>
            <w:r>
              <w:rPr>
                <w:rFonts w:hint="eastAsia" w:ascii="新宋体" w:hAnsi="新宋体" w:eastAsia="新宋体"/>
                <w:color w:val="000000"/>
                <w:kern w:val="0"/>
                <w:szCs w:val="21"/>
              </w:rPr>
              <w:t>术语管理服务定义书</w:t>
            </w: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17.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术语内容更新服务（接收）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18.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术语内容停用服务（接收）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19.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电子病历文档注册服务</w:t>
            </w:r>
          </w:p>
        </w:tc>
        <w:tc>
          <w:tcPr>
            <w:tcW w:w="1489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检查报告</w:t>
            </w: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CDA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文档推送，见附件</w:t>
            </w: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5-CDA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规范</w:t>
            </w: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检查报告（</w:t>
            </w: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WST 500.6-2016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57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000000"/>
                <w:kern w:val="0"/>
                <w:szCs w:val="21"/>
              </w:rPr>
            </w:pP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9-</w:t>
            </w:r>
            <w:r>
              <w:rPr>
                <w:rFonts w:hint="eastAsia" w:ascii="新宋体" w:hAnsi="新宋体" w:eastAsia="新宋体"/>
                <w:color w:val="000000"/>
                <w:kern w:val="0"/>
                <w:szCs w:val="21"/>
              </w:rPr>
              <w:t>电子病历文档管理服务定义书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电子病历文档检索服务</w:t>
            </w:r>
          </w:p>
        </w:tc>
        <w:tc>
          <w:tcPr>
            <w:tcW w:w="1489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7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21.</w:t>
            </w:r>
          </w:p>
        </w:tc>
        <w:tc>
          <w:tcPr>
            <w:tcW w:w="1968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电子病历文档调阅服务</w:t>
            </w:r>
          </w:p>
        </w:tc>
        <w:tc>
          <w:tcPr>
            <w:tcW w:w="1489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 w:ascii="新宋体" w:hAnsi="新宋体" w:eastAsia="新宋体"/>
          <w:sz w:val="24"/>
        </w:rPr>
      </w:pPr>
    </w:p>
    <w:tbl>
      <w:tblPr>
        <w:tblStyle w:val="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3049"/>
        <w:gridCol w:w="2840"/>
        <w:gridCol w:w="1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单点登录接口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386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000000" w:fill="C6D9F1"/>
            <w:vAlign w:val="center"/>
          </w:tcPr>
          <w:p>
            <w:pPr>
              <w:widowControl/>
              <w:ind w:right="-107" w:rightChars="-51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次序</w:t>
            </w:r>
          </w:p>
        </w:tc>
        <w:tc>
          <w:tcPr>
            <w:tcW w:w="1789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接口名称</w:t>
            </w:r>
          </w:p>
        </w:tc>
        <w:tc>
          <w:tcPr>
            <w:tcW w:w="1666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159" w:type="pct"/>
            <w:tcBorders>
              <w:top w:val="single" w:color="auto" w:sz="8" w:space="0"/>
              <w:left w:val="single" w:color="auto" w:sz="2" w:space="0"/>
              <w:right w:val="single" w:color="auto" w:sz="8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对应接口文档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第三方系统对接单点登录接口</w:t>
            </w:r>
          </w:p>
        </w:tc>
        <w:tc>
          <w:tcPr>
            <w:tcW w:w="166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9" w:type="pct"/>
            <w:vMerge w:val="restart"/>
            <w:tcBorders>
              <w:top w:val="single" w:color="auto" w:sz="8" w:space="0"/>
              <w:left w:val="single" w:color="auto" w:sz="2" w:space="0"/>
              <w:bottom w:val="single" w:color="000000" w:sz="2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Cs w:val="21"/>
              </w:rPr>
              <w:t>附件</w:t>
            </w:r>
            <w:r>
              <w:rPr>
                <w:rFonts w:ascii="新宋体" w:hAnsi="新宋体" w:eastAsia="新宋体"/>
                <w:bCs/>
                <w:color w:val="000000"/>
                <w:kern w:val="0"/>
                <w:szCs w:val="21"/>
              </w:rPr>
              <w:t>2--</w:t>
            </w:r>
            <w:r>
              <w:rPr>
                <w:rFonts w:hint="eastAsia" w:ascii="新宋体" w:hAnsi="新宋体" w:eastAsia="新宋体" w:cs="宋体"/>
                <w:bCs/>
                <w:color w:val="000000"/>
                <w:kern w:val="0"/>
                <w:szCs w:val="21"/>
              </w:rPr>
              <w:t>临床工作门户接口文档（第三方调用）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临床工作门户消息公告接口</w:t>
            </w:r>
          </w:p>
        </w:tc>
        <w:tc>
          <w:tcPr>
            <w:tcW w:w="166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接收单点登录消息公告</w:t>
            </w:r>
          </w:p>
        </w:tc>
        <w:tc>
          <w:tcPr>
            <w:tcW w:w="1159" w:type="pct"/>
            <w:vMerge w:val="continue"/>
            <w:tcBorders>
              <w:top w:val="single" w:color="000000" w:sz="8" w:space="0"/>
              <w:left w:val="single" w:color="auto" w:sz="2" w:space="0"/>
              <w:bottom w:val="single" w:color="000000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第三方系统权限同步接口</w:t>
            </w:r>
          </w:p>
        </w:tc>
        <w:tc>
          <w:tcPr>
            <w:tcW w:w="166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第三方系统权限发生变化后同步到</w:t>
            </w: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JHIPv5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系统，保持数据一致性</w:t>
            </w:r>
            <w:r>
              <w:rPr>
                <w:rFonts w:ascii="新宋体" w:hAnsi="新宋体" w:eastAsia="新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根据需要</w:t>
            </w:r>
          </w:p>
        </w:tc>
        <w:tc>
          <w:tcPr>
            <w:tcW w:w="1159" w:type="pct"/>
            <w:vMerge w:val="continue"/>
            <w:tcBorders>
              <w:top w:val="single" w:color="000000" w:sz="8" w:space="0"/>
              <w:left w:val="single" w:color="auto" w:sz="2" w:space="0"/>
              <w:bottom w:val="single" w:color="000000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用户权限同步接口</w:t>
            </w:r>
          </w:p>
        </w:tc>
        <w:tc>
          <w:tcPr>
            <w:tcW w:w="1666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以用户为维护对象，当用户的权限发生更改时，新的用户权限信息需要同步给三方系统。</w:t>
            </w:r>
          </w:p>
        </w:tc>
        <w:tc>
          <w:tcPr>
            <w:tcW w:w="1159" w:type="pct"/>
            <w:vMerge w:val="continue"/>
            <w:tcBorders>
              <w:top w:val="single" w:color="000000" w:sz="8" w:space="0"/>
              <w:left w:val="single" w:color="auto" w:sz="2" w:space="0"/>
              <w:bottom w:val="single" w:color="000000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 w:ascii="新宋体" w:hAnsi="新宋体" w:eastAsia="新宋体"/>
          <w:sz w:val="24"/>
        </w:rPr>
      </w:pPr>
    </w:p>
    <w:tbl>
      <w:tblPr>
        <w:tblStyle w:val="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3047"/>
        <w:gridCol w:w="2840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等线" w:hAnsi="宋体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8"/>
                <w:szCs w:val="28"/>
              </w:rPr>
              <w:t>数据采集项目清单：</w:t>
            </w: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等线" w:hAnsi="宋体" w:eastAsia="等线" w:cs="宋体"/>
                <w:bCs/>
                <w:color w:val="000000"/>
                <w:kern w:val="0"/>
                <w:sz w:val="24"/>
              </w:rPr>
              <w:t>接口文档详见：附件3-数据采集视图（院感数据规范）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388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000000" w:fill="C6D9F1"/>
            <w:vAlign w:val="center"/>
          </w:tcPr>
          <w:p>
            <w:pPr>
              <w:widowControl/>
              <w:ind w:right="-105" w:rightChars="-5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次序</w:t>
            </w:r>
          </w:p>
        </w:tc>
        <w:tc>
          <w:tcPr>
            <w:tcW w:w="1788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接口名称</w:t>
            </w:r>
          </w:p>
        </w:tc>
        <w:tc>
          <w:tcPr>
            <w:tcW w:w="1666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对应接口文档  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8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1.</w:t>
            </w:r>
          </w:p>
        </w:tc>
        <w:tc>
          <w:tcPr>
            <w:tcW w:w="178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患者检查明细</w:t>
            </w:r>
          </w:p>
        </w:tc>
        <w:tc>
          <w:tcPr>
            <w:tcW w:w="166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《检查数据规范》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8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2.</w:t>
            </w:r>
          </w:p>
        </w:tc>
        <w:tc>
          <w:tcPr>
            <w:tcW w:w="1788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检查预约</w:t>
            </w:r>
          </w:p>
        </w:tc>
        <w:tc>
          <w:tcPr>
            <w:tcW w:w="1666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《检查数据规范》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jc w:val="left"/>
        <w:rPr>
          <w:rFonts w:hint="eastAsia" w:ascii="新宋体" w:hAnsi="新宋体" w:eastAsia="新宋体"/>
          <w:sz w:val="24"/>
        </w:rPr>
      </w:pPr>
    </w:p>
    <w:tbl>
      <w:tblPr>
        <w:tblStyle w:val="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3049"/>
        <w:gridCol w:w="3036"/>
        <w:gridCol w:w="1779"/>
      </w:tblGrid>
      <w:tr>
        <w:trPr>
          <w:trHeight w:val="390" w:hRule="atLeast"/>
        </w:trPr>
        <w:tc>
          <w:tcPr>
            <w:tcW w:w="3956" w:type="pct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8"/>
                <w:szCs w:val="28"/>
              </w:rPr>
              <w:t>模块集成改造内容清单</w:t>
            </w:r>
          </w:p>
        </w:tc>
        <w:tc>
          <w:tcPr>
            <w:tcW w:w="1044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386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000000" w:fill="C6D9F1"/>
            <w:vAlign w:val="center"/>
          </w:tcPr>
          <w:p>
            <w:pPr>
              <w:widowControl/>
              <w:ind w:right="-107" w:rightChars="-51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89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接口名称</w:t>
            </w:r>
          </w:p>
        </w:tc>
        <w:tc>
          <w:tcPr>
            <w:tcW w:w="2825" w:type="pct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对应接口文档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系统嵌入统一视图url</w:t>
            </w:r>
          </w:p>
        </w:tc>
        <w:tc>
          <w:tcPr>
            <w:tcW w:w="2825" w:type="pct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附件4-统一视图嵌入第三方说明文档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医嘱闭环URL；</w:t>
            </w:r>
          </w:p>
        </w:tc>
        <w:tc>
          <w:tcPr>
            <w:tcW w:w="2825" w:type="pct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CA系统集成</w:t>
            </w:r>
          </w:p>
        </w:tc>
        <w:tc>
          <w:tcPr>
            <w:tcW w:w="282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内镜报告CA签名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检查报告url提供</w:t>
            </w:r>
          </w:p>
        </w:tc>
        <w:tc>
          <w:tcPr>
            <w:tcW w:w="282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6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5</w:t>
            </w:r>
          </w:p>
        </w:tc>
        <w:tc>
          <w:tcPr>
            <w:tcW w:w="1789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电子病历5级要求改造</w:t>
            </w:r>
          </w:p>
        </w:tc>
        <w:tc>
          <w:tcPr>
            <w:tcW w:w="282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系统可设置异常值标识，内镜图报告显示参考范围和异常标识</w:t>
            </w:r>
          </w:p>
        </w:tc>
      </w:tr>
    </w:tbl>
    <w:p>
      <w:pPr>
        <w:jc w:val="left"/>
        <w:rPr>
          <w:rFonts w:hint="eastAsia" w:ascii="新宋体" w:hAnsi="新宋体" w:eastAsia="新宋体"/>
          <w:sz w:val="24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1NDc5ODg0YzUyMmJlZDg3Y2U1MzA2ZWQzNjZmZTkifQ=="/>
  </w:docVars>
  <w:rsids>
    <w:rsidRoot w:val="00424AEE"/>
    <w:rsid w:val="00247D13"/>
    <w:rsid w:val="00424AEE"/>
    <w:rsid w:val="5646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