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3920" w:firstLineChars="1400"/>
        <w:jc w:val="both"/>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雅安市人民医院院内耗材试剂采购评分标准</w:t>
      </w:r>
    </w:p>
    <w:p>
      <w:pPr>
        <w:rPr>
          <w:rFonts w:hint="eastAsia"/>
          <w:lang w:eastAsia="zh-CN"/>
        </w:rPr>
      </w:pPr>
    </w:p>
    <w:tbl>
      <w:tblPr>
        <w:tblStyle w:val="5"/>
        <w:tblW w:w="15870" w:type="dxa"/>
        <w:tblInd w:w="-839" w:type="dxa"/>
        <w:tblLayout w:type="autofit"/>
        <w:tblCellMar>
          <w:top w:w="0" w:type="dxa"/>
          <w:left w:w="108" w:type="dxa"/>
          <w:bottom w:w="0" w:type="dxa"/>
          <w:right w:w="108" w:type="dxa"/>
        </w:tblCellMar>
      </w:tblPr>
      <w:tblGrid>
        <w:gridCol w:w="630"/>
        <w:gridCol w:w="1905"/>
        <w:gridCol w:w="622"/>
        <w:gridCol w:w="12113"/>
        <w:gridCol w:w="600"/>
      </w:tblGrid>
      <w:tr>
        <w:tblPrEx>
          <w:tblCellMar>
            <w:top w:w="0" w:type="dxa"/>
            <w:left w:w="108" w:type="dxa"/>
            <w:bottom w:w="0" w:type="dxa"/>
            <w:right w:w="108" w:type="dxa"/>
          </w:tblCellMar>
        </w:tblPrEx>
        <w:trPr>
          <w:trHeight w:val="20" w:hRule="atLeast"/>
        </w:trPr>
        <w:tc>
          <w:tcPr>
            <w:tcW w:w="630" w:type="dxa"/>
            <w:tcBorders>
              <w:top w:val="single" w:color="auto" w:sz="8" w:space="0"/>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both"/>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序号</w:t>
            </w:r>
          </w:p>
        </w:tc>
        <w:tc>
          <w:tcPr>
            <w:tcW w:w="1905"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评分因素及权重</w:t>
            </w:r>
          </w:p>
        </w:tc>
        <w:tc>
          <w:tcPr>
            <w:tcW w:w="622"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分值</w:t>
            </w:r>
          </w:p>
        </w:tc>
        <w:tc>
          <w:tcPr>
            <w:tcW w:w="12113"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评分标准</w:t>
            </w:r>
          </w:p>
        </w:tc>
        <w:tc>
          <w:tcPr>
            <w:tcW w:w="600" w:type="dxa"/>
            <w:tcBorders>
              <w:top w:val="single" w:color="auto" w:sz="8" w:space="0"/>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说明</w:t>
            </w:r>
          </w:p>
        </w:tc>
      </w:tr>
      <w:tr>
        <w:tblPrEx>
          <w:tblCellMar>
            <w:top w:w="0" w:type="dxa"/>
            <w:left w:w="108" w:type="dxa"/>
            <w:bottom w:w="0" w:type="dxa"/>
            <w:right w:w="108" w:type="dxa"/>
          </w:tblCellMar>
        </w:tblPrEx>
        <w:trPr>
          <w:trHeight w:val="696"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1</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bidi="ar-SA"/>
              </w:rPr>
              <w:t>报价（</w:t>
            </w: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50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满足</w:t>
            </w:r>
            <w:r>
              <w:rPr>
                <w:rFonts w:hint="eastAsia" w:ascii="宋体" w:hAnsi="宋体" w:eastAsia="宋体" w:cs="宋体"/>
                <w:color w:val="auto"/>
                <w:sz w:val="18"/>
                <w:szCs w:val="18"/>
                <w:highlight w:val="none"/>
                <w:lang w:eastAsia="zh-CN"/>
              </w:rPr>
              <w:t>采购文件</w:t>
            </w:r>
            <w:r>
              <w:rPr>
                <w:rFonts w:hint="eastAsia" w:ascii="宋体" w:hAnsi="宋体" w:eastAsia="宋体" w:cs="宋体"/>
                <w:color w:val="auto"/>
                <w:sz w:val="18"/>
                <w:szCs w:val="18"/>
                <w:highlight w:val="none"/>
              </w:rPr>
              <w:t>要求且</w:t>
            </w:r>
            <w:r>
              <w:rPr>
                <w:rFonts w:hint="eastAsia" w:ascii="宋体" w:hAnsi="宋体" w:eastAsia="宋体" w:cs="宋体"/>
                <w:color w:val="auto"/>
                <w:sz w:val="18"/>
                <w:szCs w:val="18"/>
                <w:highlight w:val="none"/>
                <w:lang w:eastAsia="zh-CN"/>
              </w:rPr>
              <w:t>最后报价的</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最低的报价为基准价，其价格分为满分。其他供应商的价格分统一按照下列公式计算：报价得分=(基准价／</w:t>
            </w:r>
            <w:r>
              <w:rPr>
                <w:rFonts w:hint="eastAsia" w:ascii="宋体" w:hAnsi="宋体" w:eastAsia="宋体" w:cs="宋体"/>
                <w:b w:val="0"/>
                <w:bCs w:val="0"/>
                <w:color w:val="auto"/>
                <w:sz w:val="18"/>
                <w:szCs w:val="18"/>
                <w:highlight w:val="none"/>
                <w:lang w:val="en-US" w:eastAsia="zh-CN"/>
              </w:rPr>
              <w:t>单价</w:t>
            </w:r>
            <w:r>
              <w:rPr>
                <w:rFonts w:hint="eastAsia" w:ascii="宋体" w:hAnsi="宋体" w:eastAsia="宋体" w:cs="宋体"/>
                <w:b w:val="0"/>
                <w:bCs w:val="0"/>
                <w:color w:val="auto"/>
                <w:sz w:val="18"/>
                <w:szCs w:val="18"/>
                <w:highlight w:val="none"/>
              </w:rPr>
              <w:t>报价合计</w:t>
            </w:r>
            <w:r>
              <w:rPr>
                <w:rFonts w:hint="eastAsia" w:ascii="宋体" w:hAnsi="宋体" w:eastAsia="宋体" w:cs="宋体"/>
                <w:color w:val="auto"/>
                <w:sz w:val="18"/>
                <w:szCs w:val="18"/>
                <w:highlight w:val="none"/>
              </w:rPr>
              <w:t xml:space="preserve">)* </w:t>
            </w:r>
            <w:r>
              <w:rPr>
                <w:rFonts w:hint="eastAsia" w:ascii="宋体" w:hAnsi="宋体" w:eastAsia="宋体" w:cs="宋体"/>
                <w:color w:val="auto"/>
                <w:sz w:val="18"/>
                <w:szCs w:val="18"/>
                <w:highlight w:val="none"/>
                <w:lang w:val="en-US" w:eastAsia="zh-CN"/>
              </w:rPr>
              <w:t>50</w:t>
            </w:r>
            <w:r>
              <w:rPr>
                <w:rFonts w:hint="eastAsia" w:ascii="宋体" w:hAnsi="宋体" w:eastAsia="宋体" w:cs="宋体"/>
                <w:color w:val="auto"/>
                <w:sz w:val="18"/>
                <w:szCs w:val="18"/>
                <w:highlight w:val="none"/>
              </w:rPr>
              <w:t>%*100</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1407"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eastAsia="zh-CN" w:bidi="ar-SA"/>
              </w:rPr>
              <w:t>项目实施方案（</w:t>
            </w:r>
            <w:r>
              <w:rPr>
                <w:rFonts w:hint="eastAsia" w:ascii="宋体" w:hAnsi="宋体" w:eastAsia="宋体" w:cs="宋体"/>
                <w:color w:val="auto"/>
                <w:kern w:val="0"/>
                <w:sz w:val="18"/>
                <w:szCs w:val="18"/>
                <w:highlight w:val="none"/>
                <w:lang w:val="en-US" w:eastAsia="zh-CN" w:bidi="ar-SA"/>
              </w:rPr>
              <w:t>14%</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14分</w:t>
            </w:r>
          </w:p>
        </w:tc>
        <w:tc>
          <w:tcPr>
            <w:tcW w:w="12113"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根据</w:t>
            </w:r>
            <w:r>
              <w:rPr>
                <w:rFonts w:hint="eastAsia" w:ascii="宋体" w:hAnsi="宋体" w:eastAsia="宋体" w:cs="宋体"/>
                <w:color w:val="auto"/>
                <w:sz w:val="18"/>
                <w:szCs w:val="18"/>
                <w:highlight w:val="none"/>
                <w:lang w:eastAsia="zh-CN"/>
              </w:rPr>
              <w:t>供应商</w:t>
            </w:r>
            <w:r>
              <w:rPr>
                <w:rFonts w:hint="eastAsia" w:ascii="宋体" w:hAnsi="宋体" w:eastAsia="宋体" w:cs="宋体"/>
                <w:color w:val="auto"/>
                <w:sz w:val="18"/>
                <w:szCs w:val="18"/>
                <w:highlight w:val="none"/>
              </w:rPr>
              <w:t>提供的项目实施方案进行评审，该内容应包含：①项目配送方案（出入库管理制度、配送流程（配送人员和车辆的配置））；②质量保障方案（包含质量管理体系建设、质量控制技术方法等）；③应急保障方案（配送过程中的突发应急措施、因问题产品引发的医疗安全事故应急措施、临时配送的应急措施）；④售后保障体系（退换货流程制度、描述产品供应过程中的售后保障体系等）。</w:t>
            </w:r>
            <w:r>
              <w:rPr>
                <w:rFonts w:hint="eastAsia" w:ascii="宋体" w:hAnsi="宋体" w:eastAsia="宋体" w:cs="宋体"/>
                <w:color w:val="auto"/>
                <w:sz w:val="18"/>
                <w:szCs w:val="18"/>
                <w:highlight w:val="none"/>
                <w:lang w:eastAsia="zh-CN"/>
              </w:rPr>
              <w:t>以上内容</w:t>
            </w:r>
            <w:r>
              <w:rPr>
                <w:rFonts w:hint="eastAsia" w:ascii="宋体" w:hAnsi="宋体" w:eastAsia="宋体" w:cs="宋体"/>
                <w:color w:val="auto"/>
                <w:sz w:val="18"/>
                <w:szCs w:val="18"/>
                <w:highlight w:val="none"/>
              </w:rPr>
              <w:t>完整</w:t>
            </w:r>
            <w:r>
              <w:rPr>
                <w:rFonts w:hint="eastAsia" w:ascii="宋体" w:hAnsi="宋体" w:eastAsia="宋体" w:cs="宋体"/>
                <w:color w:val="auto"/>
                <w:sz w:val="18"/>
                <w:szCs w:val="18"/>
                <w:highlight w:val="none"/>
                <w:lang w:eastAsia="zh-CN"/>
              </w:rPr>
              <w:t>且满足采购文件要求</w:t>
            </w:r>
            <w:r>
              <w:rPr>
                <w:rFonts w:hint="eastAsia" w:ascii="宋体" w:hAnsi="宋体" w:eastAsia="宋体" w:cs="宋体"/>
                <w:color w:val="auto"/>
                <w:sz w:val="18"/>
                <w:szCs w:val="18"/>
                <w:highlight w:val="none"/>
              </w:rPr>
              <w:t>得1</w:t>
            </w:r>
            <w:r>
              <w:rPr>
                <w:rFonts w:hint="eastAsia" w:ascii="宋体" w:hAnsi="宋体" w:eastAsia="宋体" w:cs="宋体"/>
                <w:color w:val="auto"/>
                <w:sz w:val="18"/>
                <w:szCs w:val="18"/>
                <w:highlight w:val="none"/>
                <w:lang w:val="en-US" w:eastAsia="zh-CN"/>
              </w:rPr>
              <w:t>4</w:t>
            </w:r>
            <w:r>
              <w:rPr>
                <w:rFonts w:hint="eastAsia" w:ascii="宋体" w:hAnsi="宋体" w:eastAsia="宋体" w:cs="宋体"/>
                <w:color w:val="auto"/>
                <w:sz w:val="18"/>
                <w:szCs w:val="18"/>
                <w:highlight w:val="none"/>
              </w:rPr>
              <w:t>分；每有一项未提供扣4分；每有一处有缺陷</w:t>
            </w:r>
            <w:r>
              <w:rPr>
                <w:rFonts w:hint="eastAsia" w:ascii="宋体" w:hAnsi="宋体" w:eastAsia="宋体" w:cs="宋体"/>
                <w:color w:val="auto"/>
                <w:sz w:val="18"/>
                <w:szCs w:val="18"/>
                <w:highlight w:val="none"/>
                <w:lang w:eastAsia="zh-CN"/>
              </w:rPr>
              <w:t>或仅是复制标题的</w:t>
            </w:r>
            <w:r>
              <w:rPr>
                <w:rFonts w:hint="eastAsia" w:ascii="宋体" w:hAnsi="宋体" w:eastAsia="宋体" w:cs="宋体"/>
                <w:color w:val="auto"/>
                <w:sz w:val="18"/>
                <w:szCs w:val="18"/>
                <w:highlight w:val="none"/>
              </w:rPr>
              <w:t xml:space="preserve">扣2分，扣完为止。 </w:t>
            </w:r>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561" w:hRule="atLeast"/>
        </w:trPr>
        <w:tc>
          <w:tcPr>
            <w:tcW w:w="630" w:type="dxa"/>
            <w:tcBorders>
              <w:top w:val="nil"/>
              <w:left w:val="single" w:color="auto" w:sz="8" w:space="0"/>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kern w:val="0"/>
                <w:sz w:val="18"/>
                <w:szCs w:val="18"/>
                <w:highlight w:val="none"/>
                <w:lang w:val="en-US" w:eastAsia="zh-CN" w:bidi="ar-SA"/>
              </w:rPr>
              <w:t>3</w:t>
            </w:r>
          </w:p>
        </w:tc>
        <w:tc>
          <w:tcPr>
            <w:tcW w:w="1905"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eastAsia="zh-CN" w:bidi="ar-SA"/>
              </w:rPr>
            </w:pPr>
            <w:r>
              <w:rPr>
                <w:rFonts w:hint="eastAsia" w:ascii="宋体" w:hAnsi="宋体" w:eastAsia="宋体" w:cs="宋体"/>
                <w:color w:val="auto"/>
                <w:sz w:val="18"/>
                <w:szCs w:val="18"/>
                <w:highlight w:val="none"/>
                <w:lang w:val="en-US" w:eastAsia="zh-CN" w:bidi="ar-SA"/>
              </w:rPr>
              <w:t>业绩</w:t>
            </w:r>
            <w:r>
              <w:rPr>
                <w:rFonts w:hint="eastAsia" w:ascii="宋体" w:hAnsi="宋体" w:eastAsia="宋体" w:cs="宋体"/>
                <w:color w:val="auto"/>
                <w:kern w:val="0"/>
                <w:sz w:val="18"/>
                <w:szCs w:val="18"/>
                <w:highlight w:val="none"/>
                <w:lang w:eastAsia="zh-CN" w:bidi="ar-SA"/>
              </w:rPr>
              <w:t>（</w:t>
            </w: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eastAsia="zh-CN" w:bidi="ar-SA"/>
              </w:rPr>
              <w:t>）</w:t>
            </w:r>
          </w:p>
        </w:tc>
        <w:tc>
          <w:tcPr>
            <w:tcW w:w="622" w:type="dxa"/>
            <w:tcBorders>
              <w:top w:val="nil"/>
              <w:left w:val="nil"/>
              <w:bottom w:val="single" w:color="auto" w:sz="8" w:space="0"/>
              <w:right w:val="single" w:color="auto" w:sz="8" w:space="0"/>
            </w:tcBorders>
            <w:noWrap w:val="0"/>
            <w:vAlign w:val="center"/>
          </w:tcPr>
          <w:p>
            <w:pPr>
              <w:autoSpaceDE w:val="0"/>
              <w:autoSpaceDN w:val="0"/>
              <w:adjustRightInd w:val="0"/>
              <w:spacing w:line="360" w:lineRule="auto"/>
              <w:ind w:firstLine="0"/>
              <w:jc w:val="center"/>
              <w:rPr>
                <w:rFonts w:hint="eastAsia" w:ascii="宋体" w:hAnsi="宋体" w:eastAsia="宋体" w:cs="宋体"/>
                <w:color w:val="auto"/>
                <w:kern w:val="0"/>
                <w:sz w:val="18"/>
                <w:szCs w:val="18"/>
                <w:highlight w:val="none"/>
                <w:lang w:bidi="ar-SA"/>
              </w:rPr>
            </w:pPr>
            <w:r>
              <w:rPr>
                <w:rFonts w:hint="eastAsia" w:ascii="宋体" w:hAnsi="宋体" w:eastAsia="宋体" w:cs="宋体"/>
                <w:color w:val="auto"/>
                <w:kern w:val="0"/>
                <w:sz w:val="18"/>
                <w:szCs w:val="18"/>
                <w:highlight w:val="none"/>
                <w:lang w:val="en-US" w:eastAsia="zh-CN" w:bidi="ar-SA"/>
              </w:rPr>
              <w:t>10</w:t>
            </w:r>
            <w:r>
              <w:rPr>
                <w:rFonts w:hint="eastAsia" w:ascii="宋体" w:hAnsi="宋体" w:eastAsia="宋体" w:cs="宋体"/>
                <w:color w:val="auto"/>
                <w:kern w:val="0"/>
                <w:sz w:val="18"/>
                <w:szCs w:val="18"/>
                <w:highlight w:val="none"/>
                <w:lang w:bidi="ar-SA"/>
              </w:rPr>
              <w:t xml:space="preserve"> 分</w:t>
            </w:r>
          </w:p>
        </w:tc>
        <w:tc>
          <w:tcPr>
            <w:tcW w:w="12113" w:type="dxa"/>
            <w:tcBorders>
              <w:top w:val="nil"/>
              <w:left w:val="nil"/>
              <w:bottom w:val="single" w:color="auto" w:sz="8" w:space="0"/>
              <w:right w:val="single" w:color="auto" w:sz="8" w:space="0"/>
            </w:tcBorders>
            <w:noWrap w:val="0"/>
            <w:vAlign w:val="center"/>
          </w:tcPr>
          <w:p>
            <w:pPr>
              <w:pStyle w:val="2"/>
              <w:numPr>
                <w:ilvl w:val="0"/>
                <w:numId w:val="0"/>
              </w:numPr>
              <w:spacing w:line="360" w:lineRule="auto"/>
              <w:rPr>
                <w:rFonts w:hint="default"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供应商提供2020年1月1日以来类似项目业绩，每提供一个得2.5分，最多得10分。（注：1.耗材产品业绩为类似耗材产品销售业绩。2.试剂产品业绩为类似试剂产品销售业绩。3.需提供项目合同复印件，否则不得分）。</w:t>
            </w:r>
            <w:bookmarkStart w:id="0" w:name="_GoBack"/>
            <w:bookmarkEnd w:id="0"/>
          </w:p>
        </w:tc>
        <w:tc>
          <w:tcPr>
            <w:tcW w:w="600" w:type="dxa"/>
            <w:tcBorders>
              <w:top w:val="nil"/>
              <w:left w:val="nil"/>
              <w:bottom w:val="single" w:color="auto" w:sz="8"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84" w:hRule="atLeast"/>
        </w:trPr>
        <w:tc>
          <w:tcPr>
            <w:tcW w:w="630" w:type="dxa"/>
            <w:tcBorders>
              <w:top w:val="nil"/>
              <w:left w:val="single" w:color="auto" w:sz="8" w:space="0"/>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4</w:t>
            </w:r>
          </w:p>
        </w:tc>
        <w:tc>
          <w:tcPr>
            <w:tcW w:w="1905"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sz w:val="18"/>
                <w:szCs w:val="18"/>
                <w:highlight w:val="none"/>
                <w:lang w:val="en-US" w:eastAsia="zh-CN" w:bidi="ar-SA"/>
              </w:rPr>
              <w:t>服务（技术）质量</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w:t>
            </w:r>
          </w:p>
        </w:tc>
        <w:tc>
          <w:tcPr>
            <w:tcW w:w="622" w:type="dxa"/>
            <w:tcBorders>
              <w:top w:val="nil"/>
              <w:left w:val="nil"/>
              <w:bottom w:val="single" w:color="auto" w:sz="4" w:space="0"/>
              <w:right w:val="single" w:color="auto" w:sz="8"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20</w:t>
            </w:r>
            <w:r>
              <w:rPr>
                <w:rFonts w:hint="eastAsia" w:ascii="宋体" w:hAnsi="宋体" w:eastAsia="宋体" w:cs="宋体"/>
                <w:color w:val="auto"/>
                <w:kern w:val="0"/>
                <w:sz w:val="18"/>
                <w:szCs w:val="18"/>
                <w:highlight w:val="none"/>
                <w:lang w:bidi="ar-SA"/>
              </w:rPr>
              <w:t>分</w:t>
            </w:r>
          </w:p>
        </w:tc>
        <w:tc>
          <w:tcPr>
            <w:tcW w:w="12113" w:type="dxa"/>
            <w:tcBorders>
              <w:top w:val="nil"/>
              <w:left w:val="nil"/>
              <w:bottom w:val="single" w:color="auto" w:sz="4" w:space="0"/>
              <w:right w:val="single" w:color="auto" w:sz="8" w:space="0"/>
            </w:tcBorders>
            <w:noWrap w:val="0"/>
            <w:vAlign w:val="center"/>
          </w:tcPr>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1.技术（10分）：供应商提供产品的技术性能或者功能完全满足医院临床需求的得5分，每有一项不满足扣2.5分，扣完为止。供应商提供产品的技术参数在完全满足医院临床需求的情况下有一项技术优势加5分，最多加5分。本项最高得10分。</w:t>
            </w:r>
          </w:p>
          <w:p>
            <w:pPr>
              <w:pStyle w:val="2"/>
              <w:numPr>
                <w:ilvl w:val="0"/>
                <w:numId w:val="0"/>
              </w:numPr>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2.样品（10分）：供应商提供的样品齐全且样品表观检查与其响应文件响应一致、则按照以下标准评审（样品不全或与其响应文件响应产品不一致的得0分）：每有一个样品在外观或材质或制作工艺等方面不满足医院临床需求的扣2分，扣完为止：本项最高得10分。</w:t>
            </w:r>
          </w:p>
        </w:tc>
        <w:tc>
          <w:tcPr>
            <w:tcW w:w="600" w:type="dxa"/>
            <w:tcBorders>
              <w:top w:val="single" w:color="auto" w:sz="4" w:space="0"/>
              <w:left w:val="nil"/>
              <w:bottom w:val="single" w:color="auto" w:sz="4" w:space="0"/>
              <w:right w:val="single" w:color="auto" w:sz="8"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r>
        <w:tblPrEx>
          <w:tblCellMar>
            <w:top w:w="0" w:type="dxa"/>
            <w:left w:w="108" w:type="dxa"/>
            <w:bottom w:w="0" w:type="dxa"/>
            <w:right w:w="108" w:type="dxa"/>
          </w:tblCellMar>
        </w:tblPrEx>
        <w:trPr>
          <w:trHeight w:val="90"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eastAsia="zh-CN" w:bidi="ar-SA"/>
              </w:rPr>
              <w:t>专利产品</w:t>
            </w:r>
            <w:r>
              <w:rPr>
                <w:rFonts w:hint="eastAsia" w:ascii="宋体" w:hAnsi="宋体" w:eastAsia="宋体" w:cs="宋体"/>
                <w:color w:val="auto"/>
                <w:kern w:val="0"/>
                <w:sz w:val="18"/>
                <w:szCs w:val="18"/>
                <w:highlight w:val="none"/>
                <w:lang w:bidi="ar-SA"/>
              </w:rPr>
              <w:t>（</w:t>
            </w: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w:t>
            </w:r>
          </w:p>
        </w:tc>
        <w:tc>
          <w:tcPr>
            <w:tcW w:w="62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ind w:firstLine="0" w:firstLineChars="0"/>
              <w:jc w:val="center"/>
              <w:rPr>
                <w:rFonts w:hint="eastAsia" w:ascii="宋体" w:hAnsi="宋体" w:eastAsia="宋体" w:cs="宋体"/>
                <w:color w:val="auto"/>
                <w:kern w:val="0"/>
                <w:sz w:val="18"/>
                <w:szCs w:val="18"/>
                <w:highlight w:val="none"/>
                <w:lang w:val="en-US" w:eastAsia="zh-CN" w:bidi="ar-SA"/>
              </w:rPr>
            </w:pPr>
            <w:r>
              <w:rPr>
                <w:rFonts w:hint="eastAsia" w:ascii="宋体" w:hAnsi="宋体" w:eastAsia="宋体" w:cs="宋体"/>
                <w:color w:val="auto"/>
                <w:kern w:val="0"/>
                <w:sz w:val="18"/>
                <w:szCs w:val="18"/>
                <w:highlight w:val="none"/>
                <w:lang w:val="en-US" w:eastAsia="zh-CN" w:bidi="ar-SA"/>
              </w:rPr>
              <w:t>6</w:t>
            </w:r>
            <w:r>
              <w:rPr>
                <w:rFonts w:hint="eastAsia" w:ascii="宋体" w:hAnsi="宋体" w:eastAsia="宋体" w:cs="宋体"/>
                <w:color w:val="auto"/>
                <w:kern w:val="0"/>
                <w:sz w:val="18"/>
                <w:szCs w:val="18"/>
                <w:highlight w:val="none"/>
                <w:lang w:bidi="ar-SA"/>
              </w:rPr>
              <w:t>分</w:t>
            </w:r>
          </w:p>
        </w:tc>
        <w:tc>
          <w:tcPr>
            <w:tcW w:w="12113" w:type="dxa"/>
            <w:tcBorders>
              <w:top w:val="single" w:color="auto" w:sz="4" w:space="0"/>
              <w:left w:val="single" w:color="auto" w:sz="4" w:space="0"/>
              <w:bottom w:val="single" w:color="auto" w:sz="4" w:space="0"/>
              <w:right w:val="single" w:color="auto" w:sz="4" w:space="0"/>
            </w:tcBorders>
            <w:noWrap w:val="0"/>
            <w:vAlign w:val="top"/>
          </w:tcPr>
          <w:p>
            <w:pPr>
              <w:pStyle w:val="2"/>
              <w:spacing w:line="360" w:lineRule="auto"/>
              <w:rPr>
                <w:rFonts w:hint="eastAsia" w:ascii="宋体" w:hAnsi="宋体" w:eastAsia="宋体" w:cs="宋体"/>
                <w:b w:val="0"/>
                <w:bCs w:val="0"/>
                <w:color w:val="auto"/>
                <w:kern w:val="2"/>
                <w:sz w:val="18"/>
                <w:szCs w:val="18"/>
                <w:highlight w:val="none"/>
                <w:lang w:val="en-US" w:eastAsia="zh-CN" w:bidi="ar-SA"/>
              </w:rPr>
            </w:pPr>
            <w:r>
              <w:rPr>
                <w:rFonts w:hint="eastAsia" w:ascii="宋体" w:hAnsi="宋体" w:eastAsia="宋体" w:cs="宋体"/>
                <w:b w:val="0"/>
                <w:bCs w:val="0"/>
                <w:color w:val="auto"/>
                <w:kern w:val="2"/>
                <w:sz w:val="18"/>
                <w:szCs w:val="18"/>
                <w:highlight w:val="none"/>
                <w:lang w:val="en-US" w:eastAsia="zh-CN" w:bidi="ar-SA"/>
              </w:rPr>
              <w:t>供应商每提供一项与本项目所采产品相关的专利证书或知识产权证书的得2分，满分6分。（提供相关证书复印件及查询网站截图）</w:t>
            </w:r>
          </w:p>
        </w:tc>
        <w:tc>
          <w:tcPr>
            <w:tcW w:w="600"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60" w:lineRule="auto"/>
              <w:ind w:firstLine="0"/>
              <w:rPr>
                <w:rFonts w:hint="eastAsia" w:ascii="宋体" w:hAnsi="宋体" w:eastAsia="宋体" w:cs="宋体"/>
                <w:color w:val="auto"/>
                <w:kern w:val="0"/>
                <w:sz w:val="18"/>
                <w:szCs w:val="18"/>
                <w:highlight w:val="none"/>
                <w:lang w:bidi="ar-SA"/>
              </w:rPr>
            </w:pPr>
          </w:p>
        </w:tc>
      </w:tr>
    </w:tbl>
    <w:p>
      <w:pPr>
        <w:rPr>
          <w:rFonts w:hint="eastAsia"/>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172A27"/>
    <w:rsid w:val="05344E4B"/>
    <w:rsid w:val="078E2ACB"/>
    <w:rsid w:val="07B65E40"/>
    <w:rsid w:val="087F2EF1"/>
    <w:rsid w:val="0E4F758F"/>
    <w:rsid w:val="0E503A14"/>
    <w:rsid w:val="11390075"/>
    <w:rsid w:val="120A52AA"/>
    <w:rsid w:val="12E87520"/>
    <w:rsid w:val="13C14CCE"/>
    <w:rsid w:val="15325C06"/>
    <w:rsid w:val="15474D46"/>
    <w:rsid w:val="156F1457"/>
    <w:rsid w:val="18C15A06"/>
    <w:rsid w:val="1A426093"/>
    <w:rsid w:val="1D25470F"/>
    <w:rsid w:val="20580C17"/>
    <w:rsid w:val="20FD4110"/>
    <w:rsid w:val="21BA15B4"/>
    <w:rsid w:val="225A792C"/>
    <w:rsid w:val="22DD181F"/>
    <w:rsid w:val="29B66714"/>
    <w:rsid w:val="2C082EC2"/>
    <w:rsid w:val="2C1922BE"/>
    <w:rsid w:val="2D8B5671"/>
    <w:rsid w:val="32E5517E"/>
    <w:rsid w:val="34517CBE"/>
    <w:rsid w:val="3BDF3E1F"/>
    <w:rsid w:val="3CDC6226"/>
    <w:rsid w:val="401762B6"/>
    <w:rsid w:val="42680A89"/>
    <w:rsid w:val="437F2E34"/>
    <w:rsid w:val="4E0164E1"/>
    <w:rsid w:val="503F50E8"/>
    <w:rsid w:val="54D71B6B"/>
    <w:rsid w:val="57191689"/>
    <w:rsid w:val="57223162"/>
    <w:rsid w:val="59481D72"/>
    <w:rsid w:val="60772F96"/>
    <w:rsid w:val="62056F53"/>
    <w:rsid w:val="69B468BF"/>
    <w:rsid w:val="6B3F09EA"/>
    <w:rsid w:val="6CCF5389"/>
    <w:rsid w:val="71161AFC"/>
    <w:rsid w:val="73B731E3"/>
    <w:rsid w:val="752E3ABE"/>
    <w:rsid w:val="7C7E628B"/>
    <w:rsid w:val="7CBD7FC6"/>
    <w:rsid w:val="7D0D7808"/>
    <w:rsid w:val="7F3B065C"/>
    <w:rsid w:val="7FF07DB1"/>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eastAsia="黑体"/>
      <w:b/>
      <w:bCs/>
      <w:sz w:val="4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769</Words>
  <Characters>808</Characters>
  <Lines>0</Lines>
  <Paragraphs>0</Paragraphs>
  <TotalTime>2</TotalTime>
  <ScaleCrop>false</ScaleCrop>
  <LinksUpToDate>false</LinksUpToDate>
  <CharactersWithSpaces>812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2021-03-25T03:16:00Z</dcterms:created>
  <dc:creator>白东奇</dc:creator>
  <cp:lastModifiedBy>??</cp:lastModifiedBy>
  <cp:lastPrinted>2023-12-04T09:56:00Z</cp:lastPrinted>
  <dcterms:modified xsi:type="dcterms:W3CDTF">2023-12-05T02:58:46Z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BD142DC9FBBF401286900C63DB6B42F9_13</vt:lpwstr>
  </property>
</Properties>
</file>