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Pr>
        <w:jc w:val="center"/>
        <w:rPr>
          <w:rFonts w:hint="eastAsia"/>
          <w:sz w:val="32"/>
          <w:szCs w:val="32"/>
          <w:lang w:val="en-US" w:eastAsia="zh-CN"/>
        </w:rPr>
      </w:pPr>
      <w:r>
        <w:rPr>
          <w:rFonts w:hint="eastAsia"/>
          <w:sz w:val="32"/>
          <w:szCs w:val="32"/>
          <w:lang w:val="en-US" w:eastAsia="zh-CN"/>
        </w:rPr>
        <w:t>雅安市人民医院内镜中心纯水机耗材更换服务采购需求</w:t>
      </w:r>
    </w:p>
    <w:p>
      <w:pPr>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一、纯水机耗材更换型号、周期及数量：</w:t>
      </w:r>
    </w:p>
    <w:tbl>
      <w:tblPr>
        <w:tblStyle w:val="2"/>
        <w:tblpPr w:leftFromText="180" w:rightFromText="180" w:vertAnchor="text" w:horzAnchor="page" w:tblpXSpec="center" w:tblpY="195"/>
        <w:tblOverlap w:val="never"/>
        <w:tblW w:w="71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8"/>
        <w:gridCol w:w="1263"/>
        <w:gridCol w:w="964"/>
        <w:gridCol w:w="1050"/>
        <w:gridCol w:w="838"/>
        <w:gridCol w:w="893"/>
        <w:gridCol w:w="15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628"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序 号</w:t>
            </w:r>
          </w:p>
        </w:tc>
        <w:tc>
          <w:tcPr>
            <w:tcW w:w="126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产品名称</w:t>
            </w:r>
          </w:p>
        </w:tc>
        <w:tc>
          <w:tcPr>
            <w:tcW w:w="964"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规格型号</w:t>
            </w:r>
          </w:p>
        </w:tc>
        <w:tc>
          <w:tcPr>
            <w:tcW w:w="1050"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更换周期</w:t>
            </w:r>
          </w:p>
        </w:tc>
        <w:tc>
          <w:tcPr>
            <w:tcW w:w="838"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单位</w:t>
            </w:r>
          </w:p>
        </w:tc>
        <w:tc>
          <w:tcPr>
            <w:tcW w:w="89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数量</w:t>
            </w:r>
          </w:p>
        </w:tc>
        <w:tc>
          <w:tcPr>
            <w:tcW w:w="150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28"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1</w:t>
            </w:r>
          </w:p>
        </w:tc>
        <w:tc>
          <w:tcPr>
            <w:tcW w:w="126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石英砂</w:t>
            </w:r>
          </w:p>
        </w:tc>
        <w:tc>
          <w:tcPr>
            <w:tcW w:w="964"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color w:val="000000"/>
                <w:sz w:val="24"/>
                <w:lang w:val="en-US" w:eastAsia="zh-CN"/>
              </w:rPr>
              <w:t>8-1目</w:t>
            </w:r>
          </w:p>
        </w:tc>
        <w:tc>
          <w:tcPr>
            <w:tcW w:w="1050"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6-12个月</w:t>
            </w:r>
          </w:p>
        </w:tc>
        <w:tc>
          <w:tcPr>
            <w:tcW w:w="838"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kg</w:t>
            </w:r>
          </w:p>
        </w:tc>
        <w:tc>
          <w:tcPr>
            <w:tcW w:w="89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250</w:t>
            </w:r>
          </w:p>
        </w:tc>
        <w:tc>
          <w:tcPr>
            <w:tcW w:w="150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质保1年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28"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2</w:t>
            </w:r>
          </w:p>
        </w:tc>
        <w:tc>
          <w:tcPr>
            <w:tcW w:w="126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活性炭</w:t>
            </w:r>
          </w:p>
        </w:tc>
        <w:tc>
          <w:tcPr>
            <w:tcW w:w="964"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4-2目</w:t>
            </w:r>
          </w:p>
        </w:tc>
        <w:tc>
          <w:tcPr>
            <w:tcW w:w="1050"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6-12个月</w:t>
            </w:r>
          </w:p>
        </w:tc>
        <w:tc>
          <w:tcPr>
            <w:tcW w:w="838"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kg</w:t>
            </w:r>
          </w:p>
        </w:tc>
        <w:tc>
          <w:tcPr>
            <w:tcW w:w="89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75</w:t>
            </w:r>
          </w:p>
        </w:tc>
        <w:tc>
          <w:tcPr>
            <w:tcW w:w="150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质保1年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28"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3</w:t>
            </w:r>
          </w:p>
        </w:tc>
        <w:tc>
          <w:tcPr>
            <w:tcW w:w="1263" w:type="dxa"/>
            <w:tcBorders>
              <w:top w:val="single" w:color="000000" w:sz="8" w:space="0"/>
              <w:left w:val="single" w:color="000000" w:sz="8" w:space="0"/>
              <w:bottom w:val="single" w:color="000000" w:sz="8" w:space="0"/>
              <w:right w:val="single" w:color="auto" w:sz="4"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软化树脂</w:t>
            </w:r>
          </w:p>
        </w:tc>
        <w:tc>
          <w:tcPr>
            <w:tcW w:w="964" w:type="dxa"/>
            <w:tcBorders>
              <w:top w:val="single" w:color="000000" w:sz="8" w:space="0"/>
              <w:left w:val="single" w:color="auto" w:sz="4"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001*7</w:t>
            </w:r>
          </w:p>
        </w:tc>
        <w:tc>
          <w:tcPr>
            <w:tcW w:w="1050"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6-12个月</w:t>
            </w:r>
          </w:p>
        </w:tc>
        <w:tc>
          <w:tcPr>
            <w:tcW w:w="838"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kg</w:t>
            </w:r>
          </w:p>
        </w:tc>
        <w:tc>
          <w:tcPr>
            <w:tcW w:w="89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100</w:t>
            </w:r>
          </w:p>
        </w:tc>
        <w:tc>
          <w:tcPr>
            <w:tcW w:w="150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质保1年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28"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4</w:t>
            </w:r>
          </w:p>
        </w:tc>
        <w:tc>
          <w:tcPr>
            <w:tcW w:w="1263" w:type="dxa"/>
            <w:tcBorders>
              <w:top w:val="single" w:color="000000" w:sz="8" w:space="0"/>
              <w:left w:val="single" w:color="000000" w:sz="8" w:space="0"/>
              <w:bottom w:val="single" w:color="000000" w:sz="8" w:space="0"/>
              <w:right w:val="single" w:color="auto" w:sz="4"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RO膜</w:t>
            </w:r>
          </w:p>
        </w:tc>
        <w:tc>
          <w:tcPr>
            <w:tcW w:w="964" w:type="dxa"/>
            <w:tcBorders>
              <w:top w:val="single" w:color="000000" w:sz="8" w:space="0"/>
              <w:left w:val="single" w:color="auto" w:sz="4"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4040</w:t>
            </w:r>
          </w:p>
        </w:tc>
        <w:tc>
          <w:tcPr>
            <w:tcW w:w="1050"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8-12个月</w:t>
            </w:r>
          </w:p>
        </w:tc>
        <w:tc>
          <w:tcPr>
            <w:tcW w:w="838"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支</w:t>
            </w:r>
          </w:p>
        </w:tc>
        <w:tc>
          <w:tcPr>
            <w:tcW w:w="89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9</w:t>
            </w:r>
          </w:p>
        </w:tc>
        <w:tc>
          <w:tcPr>
            <w:tcW w:w="150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质保1年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628"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5</w:t>
            </w:r>
          </w:p>
        </w:tc>
        <w:tc>
          <w:tcPr>
            <w:tcW w:w="1263" w:type="dxa"/>
            <w:tcBorders>
              <w:top w:val="single" w:color="000000" w:sz="8" w:space="0"/>
              <w:left w:val="single" w:color="000000" w:sz="8" w:space="0"/>
              <w:bottom w:val="single" w:color="000000" w:sz="8" w:space="0"/>
              <w:right w:val="single" w:color="auto" w:sz="4"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滤芯</w:t>
            </w:r>
          </w:p>
        </w:tc>
        <w:tc>
          <w:tcPr>
            <w:tcW w:w="964" w:type="dxa"/>
            <w:tcBorders>
              <w:top w:val="single" w:color="000000" w:sz="8" w:space="0"/>
              <w:left w:val="single" w:color="auto" w:sz="4"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lang w:val="en-US" w:eastAsia="zh-CN"/>
              </w:rPr>
              <w:t>3</w:t>
            </w:r>
            <w:r>
              <w:rPr>
                <w:rFonts w:hint="eastAsia" w:ascii="宋体" w:hAnsi="宋体" w:eastAsia="宋体" w:cs="宋体"/>
                <w:color w:val="000000"/>
                <w:sz w:val="24"/>
              </w:rPr>
              <w:t>0寸</w:t>
            </w:r>
          </w:p>
        </w:tc>
        <w:tc>
          <w:tcPr>
            <w:tcW w:w="1050"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3个月</w:t>
            </w:r>
          </w:p>
        </w:tc>
        <w:tc>
          <w:tcPr>
            <w:tcW w:w="838"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支</w:t>
            </w:r>
          </w:p>
        </w:tc>
        <w:tc>
          <w:tcPr>
            <w:tcW w:w="89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20</w:t>
            </w:r>
          </w:p>
        </w:tc>
        <w:tc>
          <w:tcPr>
            <w:tcW w:w="150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1年的用量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628"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rPr>
            </w:pPr>
            <w:r>
              <w:rPr>
                <w:rFonts w:hint="eastAsia" w:ascii="宋体" w:hAnsi="宋体" w:eastAsia="宋体" w:cs="宋体"/>
                <w:color w:val="000000"/>
                <w:sz w:val="24"/>
              </w:rPr>
              <w:t>6</w:t>
            </w:r>
          </w:p>
        </w:tc>
        <w:tc>
          <w:tcPr>
            <w:tcW w:w="1263" w:type="dxa"/>
            <w:tcBorders>
              <w:top w:val="single" w:color="000000" w:sz="8" w:space="0"/>
              <w:left w:val="single" w:color="000000" w:sz="8" w:space="0"/>
              <w:bottom w:val="single" w:color="000000" w:sz="8" w:space="0"/>
              <w:right w:val="single" w:color="auto"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color w:val="000000"/>
                <w:sz w:val="24"/>
                <w:lang w:val="en-US" w:eastAsia="zh-CN"/>
              </w:rPr>
              <w:t>离子交换树脂再生剂(盐)</w:t>
            </w:r>
          </w:p>
        </w:tc>
        <w:tc>
          <w:tcPr>
            <w:tcW w:w="964" w:type="dxa"/>
            <w:tcBorders>
              <w:top w:val="single" w:color="000000" w:sz="8" w:space="0"/>
              <w:left w:val="single" w:color="auto" w:sz="4" w:space="0"/>
              <w:bottom w:val="single" w:color="000000" w:sz="8" w:space="0"/>
              <w:right w:val="single" w:color="000000" w:sz="8"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color w:val="000000"/>
                <w:sz w:val="24"/>
                <w:lang w:val="en-US" w:eastAsia="zh-CN"/>
              </w:rPr>
              <w:t>10Kg/袋</w:t>
            </w:r>
          </w:p>
        </w:tc>
        <w:tc>
          <w:tcPr>
            <w:tcW w:w="1050"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每周1袋</w:t>
            </w:r>
          </w:p>
        </w:tc>
        <w:tc>
          <w:tcPr>
            <w:tcW w:w="838"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袋</w:t>
            </w:r>
          </w:p>
        </w:tc>
        <w:tc>
          <w:tcPr>
            <w:tcW w:w="89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50</w:t>
            </w:r>
          </w:p>
        </w:tc>
        <w:tc>
          <w:tcPr>
            <w:tcW w:w="1503" w:type="dxa"/>
            <w:tcBorders>
              <w:top w:val="single" w:color="000000" w:sz="8" w:space="0"/>
              <w:left w:val="single" w:color="000000" w:sz="8" w:space="0"/>
              <w:bottom w:val="single" w:color="000000" w:sz="8" w:space="0"/>
              <w:right w:val="single" w:color="000000" w:sz="8" w:space="0"/>
            </w:tcBorders>
            <w:shd w:val="clear" w:color="auto" w:fill="FFFFFF"/>
            <w:noWrap w:val="0"/>
            <w:vAlign w:val="center"/>
          </w:tcPr>
          <w:p>
            <w:pPr>
              <w:jc w:val="center"/>
              <w:rPr>
                <w:rFonts w:hint="eastAsia" w:ascii="宋体" w:hAnsi="宋体" w:eastAsia="宋体" w:cs="宋体"/>
                <w:color w:val="000000"/>
                <w:sz w:val="24"/>
                <w:lang w:val="en-US" w:eastAsia="zh-CN"/>
              </w:rPr>
            </w:pPr>
            <w:r>
              <w:rPr>
                <w:rFonts w:hint="eastAsia" w:ascii="宋体" w:hAnsi="宋体" w:eastAsia="宋体" w:cs="宋体"/>
                <w:color w:val="000000"/>
                <w:sz w:val="24"/>
                <w:lang w:val="en-US" w:eastAsia="zh-CN"/>
              </w:rPr>
              <w:t>1年的用量</w:t>
            </w:r>
          </w:p>
        </w:tc>
      </w:tr>
    </w:tbl>
    <w:p>
      <w:pPr>
        <w:jc w:val="center"/>
        <w:rPr>
          <w:rFonts w:hint="eastAsia" w:ascii="宋体" w:hAnsi="宋体" w:eastAsia="宋体" w:cs="宋体"/>
          <w:sz w:val="22"/>
          <w:szCs w:val="22"/>
        </w:rPr>
      </w:pPr>
    </w:p>
    <w:p>
      <w:pPr>
        <w:jc w:val="center"/>
        <w:rPr>
          <w:rFonts w:hint="eastAsia" w:ascii="宋体" w:hAnsi="宋体" w:eastAsia="宋体" w:cs="宋体"/>
          <w:sz w:val="32"/>
          <w:szCs w:val="32"/>
          <w:lang w:val="en-US" w:eastAsia="zh-CN"/>
        </w:rPr>
      </w:pPr>
    </w:p>
    <w:p>
      <w:pPr>
        <w:jc w:val="center"/>
        <w:rPr>
          <w:rFonts w:hint="eastAsia" w:ascii="宋体" w:hAnsi="宋体" w:eastAsia="宋体" w:cs="宋体"/>
          <w:sz w:val="32"/>
          <w:szCs w:val="32"/>
          <w:lang w:val="en-US" w:eastAsia="zh-CN"/>
        </w:rPr>
      </w:pPr>
    </w:p>
    <w:p>
      <w:pPr>
        <w:jc w:val="center"/>
        <w:rPr>
          <w:rFonts w:hint="eastAsia" w:ascii="宋体" w:hAnsi="宋体" w:eastAsia="宋体" w:cs="宋体"/>
          <w:sz w:val="32"/>
          <w:szCs w:val="32"/>
          <w:lang w:val="en-US" w:eastAsia="zh-CN"/>
        </w:rPr>
      </w:pPr>
    </w:p>
    <w:p>
      <w:pPr>
        <w:jc w:val="center"/>
        <w:rPr>
          <w:rFonts w:hint="eastAsia" w:ascii="宋体" w:hAnsi="宋体" w:eastAsia="宋体" w:cs="宋体"/>
          <w:sz w:val="32"/>
          <w:szCs w:val="32"/>
          <w:lang w:val="en-US" w:eastAsia="zh-CN"/>
        </w:rPr>
      </w:pPr>
    </w:p>
    <w:p>
      <w:pPr>
        <w:jc w:val="center"/>
        <w:rPr>
          <w:rFonts w:hint="eastAsia" w:ascii="宋体" w:hAnsi="宋体" w:eastAsia="宋体" w:cs="宋体"/>
          <w:sz w:val="32"/>
          <w:szCs w:val="32"/>
          <w:lang w:val="en-US" w:eastAsia="zh-CN"/>
        </w:rPr>
      </w:pPr>
    </w:p>
    <w:p>
      <w:pPr>
        <w:jc w:val="center"/>
        <w:rPr>
          <w:rFonts w:hint="eastAsia" w:ascii="宋体" w:hAnsi="宋体" w:eastAsia="宋体" w:cs="宋体"/>
          <w:sz w:val="32"/>
          <w:szCs w:val="32"/>
          <w:lang w:val="en-US" w:eastAsia="zh-CN"/>
        </w:rPr>
      </w:pPr>
    </w:p>
    <w:p>
      <w:pPr>
        <w:jc w:val="center"/>
        <w:rPr>
          <w:rFonts w:hint="eastAsia" w:ascii="宋体" w:hAnsi="宋体" w:eastAsia="宋体" w:cs="宋体"/>
          <w:sz w:val="32"/>
          <w:szCs w:val="32"/>
          <w:lang w:val="en-US" w:eastAsia="zh-CN"/>
        </w:rPr>
      </w:pPr>
    </w:p>
    <w:p>
      <w:pPr>
        <w:jc w:val="center"/>
        <w:rPr>
          <w:rFonts w:hint="eastAsia" w:ascii="宋体" w:hAnsi="宋体" w:eastAsia="宋体" w:cs="宋体"/>
          <w:sz w:val="32"/>
          <w:szCs w:val="32"/>
          <w:lang w:val="en-US" w:eastAsia="zh-CN"/>
        </w:rPr>
      </w:pPr>
    </w:p>
    <w:p>
      <w:pPr>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二、纯水机耗材更换要求：</w:t>
      </w:r>
    </w:p>
    <w:p>
      <w:pPr>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1、中标单位需按照规定时间定期对纯水机耗材进行更换，因耗材更换不及时造成内镜中心水质检测不达标所有责任由中标方负责。</w:t>
      </w:r>
    </w:p>
    <w:p>
      <w:pPr>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2、中标单位提供的所有耗材必须为国家检验合格的合格产品，并在每次更换耗材时提供合格证明。</w:t>
      </w:r>
    </w:p>
    <w:p>
      <w:pPr>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3、中标单位每次更换耗材需做好更换记录并由使用科室监督签字确认。</w:t>
      </w:r>
    </w:p>
    <w:p>
      <w:pPr>
        <w:numPr>
          <w:ilvl w:val="0"/>
          <w:numId w:val="0"/>
        </w:numPr>
        <w:spacing w:line="360" w:lineRule="auto"/>
        <w:ind w:leftChars="0"/>
        <w:jc w:val="both"/>
        <w:rPr>
          <w:rFonts w:hint="eastAsia" w:ascii="宋体" w:hAnsi="宋体" w:eastAsia="宋体" w:cs="宋体"/>
          <w:b/>
          <w:bCs/>
          <w:sz w:val="28"/>
          <w:szCs w:val="36"/>
          <w:lang w:val="en-US" w:eastAsia="zh-CN"/>
        </w:rPr>
      </w:pPr>
      <w:r>
        <w:rPr>
          <w:rFonts w:hint="eastAsia" w:ascii="宋体" w:hAnsi="宋体" w:eastAsia="宋体" w:cs="宋体"/>
          <w:sz w:val="28"/>
          <w:szCs w:val="28"/>
          <w:lang w:val="en-US" w:eastAsia="zh-CN"/>
        </w:rPr>
        <w:t>三、</w:t>
      </w:r>
      <w:r>
        <w:rPr>
          <w:rFonts w:hint="eastAsia" w:ascii="宋体" w:hAnsi="宋体" w:eastAsia="宋体" w:cs="宋体"/>
          <w:b/>
          <w:bCs/>
          <w:sz w:val="28"/>
          <w:szCs w:val="36"/>
          <w:lang w:val="en-US" w:eastAsia="zh-CN"/>
        </w:rPr>
        <w:t>服务期限</w:t>
      </w:r>
    </w:p>
    <w:p>
      <w:pPr>
        <w:numPr>
          <w:ilvl w:val="0"/>
          <w:numId w:val="0"/>
        </w:numPr>
        <w:spacing w:line="360" w:lineRule="auto"/>
        <w:ind w:leftChars="0" w:firstLine="420" w:firstLineChars="0"/>
        <w:jc w:val="both"/>
        <w:rPr>
          <w:rFonts w:hint="eastAsia" w:ascii="宋体" w:hAnsi="宋体" w:eastAsia="宋体" w:cs="宋体"/>
          <w:b w:val="0"/>
          <w:bCs w:val="0"/>
          <w:sz w:val="24"/>
          <w:szCs w:val="32"/>
          <w:lang w:val="en-US" w:eastAsia="zh-CN"/>
        </w:rPr>
      </w:pPr>
      <w:r>
        <w:rPr>
          <w:rFonts w:hint="eastAsia" w:ascii="宋体" w:hAnsi="宋体" w:eastAsia="宋体" w:cs="宋体"/>
          <w:b w:val="0"/>
          <w:bCs w:val="0"/>
          <w:sz w:val="24"/>
          <w:szCs w:val="32"/>
          <w:lang w:val="en-US" w:eastAsia="zh-CN"/>
        </w:rPr>
        <w:t>服务期限为合同签定生效之日起三年，合同一年一签，</w:t>
      </w:r>
      <w:r>
        <w:rPr>
          <w:rFonts w:hint="eastAsia" w:ascii="宋体" w:hAnsi="宋体" w:eastAsia="宋体" w:cs="宋体"/>
          <w:sz w:val="24"/>
          <w:lang w:eastAsia="zh-CN"/>
        </w:rPr>
        <w:t>每年</w:t>
      </w:r>
      <w:r>
        <w:rPr>
          <w:rFonts w:hint="eastAsia" w:ascii="宋体" w:hAnsi="宋体" w:eastAsia="宋体" w:cs="宋体"/>
          <w:sz w:val="24"/>
          <w:lang w:val="en-US" w:eastAsia="zh-CN"/>
        </w:rPr>
        <w:t>需求科室及主管科室</w:t>
      </w:r>
      <w:r>
        <w:rPr>
          <w:rFonts w:hint="eastAsia" w:ascii="宋体" w:hAnsi="宋体" w:eastAsia="宋体" w:cs="宋体"/>
          <w:sz w:val="24"/>
          <w:lang w:eastAsia="zh-CN"/>
        </w:rPr>
        <w:t>对</w:t>
      </w:r>
      <w:r>
        <w:rPr>
          <w:rFonts w:hint="eastAsia" w:ascii="宋体" w:hAnsi="宋体" w:eastAsia="宋体" w:cs="宋体"/>
          <w:sz w:val="24"/>
          <w:lang w:val="en-US" w:eastAsia="zh-CN"/>
        </w:rPr>
        <w:t>中标</w:t>
      </w:r>
      <w:r>
        <w:rPr>
          <w:rFonts w:hint="eastAsia" w:ascii="宋体" w:hAnsi="宋体" w:eastAsia="宋体" w:cs="宋体"/>
          <w:sz w:val="24"/>
          <w:lang w:eastAsia="zh-CN"/>
        </w:rPr>
        <w:t>单位进行考核，</w:t>
      </w:r>
      <w:r>
        <w:rPr>
          <w:rFonts w:hint="eastAsia" w:ascii="宋体" w:hAnsi="宋体" w:eastAsia="宋体" w:cs="宋体"/>
          <w:sz w:val="24"/>
          <w:lang w:val="en-US" w:eastAsia="zh-CN"/>
        </w:rPr>
        <w:t>合格</w:t>
      </w:r>
      <w:r>
        <w:rPr>
          <w:rFonts w:hint="eastAsia" w:ascii="宋体" w:hAnsi="宋体" w:eastAsia="宋体" w:cs="宋体"/>
          <w:b w:val="0"/>
          <w:bCs w:val="0"/>
          <w:sz w:val="24"/>
          <w:szCs w:val="32"/>
          <w:lang w:val="en-US" w:eastAsia="zh-CN"/>
        </w:rPr>
        <w:t>后合同续签下一年。</w:t>
      </w:r>
    </w:p>
    <w:p>
      <w:pPr>
        <w:numPr>
          <w:ilvl w:val="0"/>
          <w:numId w:val="0"/>
        </w:numPr>
        <w:spacing w:line="360" w:lineRule="auto"/>
        <w:ind w:leftChars="0"/>
        <w:jc w:val="both"/>
        <w:rPr>
          <w:rFonts w:hint="eastAsia" w:ascii="宋体" w:hAnsi="宋体" w:eastAsia="宋体" w:cs="宋体"/>
        </w:rPr>
      </w:pPr>
      <w:r>
        <w:rPr>
          <w:rFonts w:hint="eastAsia" w:ascii="宋体" w:hAnsi="宋体" w:eastAsia="宋体" w:cs="宋体"/>
          <w:sz w:val="28"/>
          <w:szCs w:val="28"/>
          <w:lang w:val="en-US" w:eastAsia="zh-CN"/>
        </w:rPr>
        <w:t>四、</w:t>
      </w:r>
      <w:r>
        <w:rPr>
          <w:rFonts w:hint="eastAsia" w:ascii="宋体" w:hAnsi="宋体" w:eastAsia="宋体" w:cs="宋体"/>
          <w:b/>
          <w:sz w:val="28"/>
          <w:szCs w:val="28"/>
        </w:rPr>
        <w:t>年</w:t>
      </w:r>
      <w:r>
        <w:rPr>
          <w:rFonts w:hint="eastAsia" w:ascii="宋体" w:hAnsi="宋体" w:eastAsia="宋体" w:cs="宋体"/>
          <w:b/>
          <w:sz w:val="28"/>
          <w:szCs w:val="28"/>
          <w:lang w:val="en-US" w:eastAsia="zh-CN"/>
        </w:rPr>
        <w:t>度服务</w:t>
      </w:r>
      <w:r>
        <w:rPr>
          <w:rFonts w:hint="eastAsia" w:ascii="宋体" w:hAnsi="宋体" w:eastAsia="宋体" w:cs="宋体"/>
          <w:b/>
          <w:sz w:val="28"/>
          <w:szCs w:val="28"/>
        </w:rPr>
        <w:t>费用</w:t>
      </w:r>
      <w:r>
        <w:rPr>
          <w:rFonts w:hint="eastAsia" w:ascii="宋体" w:hAnsi="宋体" w:eastAsia="宋体" w:cs="宋体"/>
        </w:rPr>
        <w:t xml:space="preserve"> </w:t>
      </w:r>
    </w:p>
    <w:p>
      <w:pPr>
        <w:spacing w:line="360" w:lineRule="auto"/>
        <w:ind w:firstLine="480"/>
        <w:rPr>
          <w:rFonts w:hint="eastAsia" w:ascii="宋体" w:hAnsi="宋体" w:eastAsia="宋体" w:cs="宋体"/>
          <w:sz w:val="28"/>
          <w:szCs w:val="28"/>
          <w:lang w:val="en-US" w:eastAsia="zh-CN"/>
        </w:rPr>
      </w:pPr>
      <w:r>
        <w:rPr>
          <w:rFonts w:hint="eastAsia" w:ascii="宋体" w:hAnsi="宋体" w:eastAsia="宋体" w:cs="宋体"/>
          <w:sz w:val="24"/>
        </w:rPr>
        <w:t>年度含税服务费用:</w:t>
      </w:r>
      <w:r>
        <w:rPr>
          <w:rFonts w:hint="eastAsia" w:ascii="宋体" w:hAnsi="宋体" w:eastAsia="宋体" w:cs="宋体"/>
          <w:sz w:val="24"/>
          <w:u w:val="single"/>
        </w:rPr>
        <w:t xml:space="preserve"> </w:t>
      </w:r>
      <w:r>
        <w:rPr>
          <w:rFonts w:hint="eastAsia" w:ascii="宋体" w:hAnsi="宋体" w:eastAsia="宋体" w:cs="宋体"/>
          <w:sz w:val="24"/>
          <w:u w:val="single"/>
          <w:lang w:val="en-US" w:eastAsia="zh-CN"/>
        </w:rPr>
        <w:t>37</w:t>
      </w:r>
      <w:r>
        <w:rPr>
          <w:rFonts w:hint="eastAsia" w:ascii="宋体" w:hAnsi="宋体" w:eastAsia="宋体" w:cs="宋体"/>
          <w:sz w:val="24"/>
          <w:u w:val="single"/>
        </w:rPr>
        <w:t>000.00元/年（大写：</w:t>
      </w:r>
      <w:r>
        <w:rPr>
          <w:rFonts w:hint="eastAsia" w:ascii="宋体" w:hAnsi="宋体" w:eastAsia="宋体" w:cs="宋体"/>
          <w:sz w:val="24"/>
          <w:u w:val="single"/>
          <w:lang w:val="en-US" w:eastAsia="zh-CN"/>
        </w:rPr>
        <w:t>叁</w:t>
      </w:r>
      <w:r>
        <w:rPr>
          <w:rFonts w:hint="eastAsia" w:ascii="宋体" w:hAnsi="宋体" w:eastAsia="宋体" w:cs="宋体"/>
          <w:sz w:val="24"/>
          <w:u w:val="single"/>
        </w:rPr>
        <w:t>万</w:t>
      </w:r>
      <w:r>
        <w:rPr>
          <w:rFonts w:hint="eastAsia" w:ascii="宋体" w:hAnsi="宋体" w:eastAsia="宋体" w:cs="宋体"/>
          <w:sz w:val="24"/>
          <w:u w:val="single"/>
          <w:lang w:val="en-US" w:eastAsia="zh-CN"/>
        </w:rPr>
        <w:t>柒</w:t>
      </w:r>
      <w:r>
        <w:rPr>
          <w:rFonts w:hint="eastAsia" w:ascii="宋体" w:hAnsi="宋体" w:eastAsia="宋体" w:cs="宋体"/>
          <w:sz w:val="24"/>
          <w:u w:val="single"/>
        </w:rPr>
        <w:t>仟元整）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1FA3AA"/>
    <w:multiLevelType w:val="multilevel"/>
    <w:tmpl w:val="5A1FA3AA"/>
    <w:lvl w:ilvl="0" w:tentative="0">
      <w:start w:val="1"/>
      <w:numFmt w:val="decimal"/>
      <w:pStyle w:val="4"/>
      <w:lvlText w:val="%1."/>
      <w:lvlJc w:val="left"/>
      <w:pPr>
        <w:tabs>
          <w:tab w:val="left" w:pos="1680"/>
        </w:tabs>
        <w:ind w:left="1680" w:hanging="420"/>
      </w:pPr>
    </w:lvl>
    <w:lvl w:ilvl="1" w:tentative="0">
      <w:start w:val="1"/>
      <w:numFmt w:val="lowerLetter"/>
      <w:lvlText w:val="%2)"/>
      <w:lvlJc w:val="left"/>
      <w:pPr>
        <w:tabs>
          <w:tab w:val="left" w:pos="2100"/>
        </w:tabs>
        <w:ind w:left="2100" w:hanging="420"/>
      </w:pPr>
    </w:lvl>
    <w:lvl w:ilvl="2" w:tentative="0">
      <w:start w:val="1"/>
      <w:numFmt w:val="lowerRoman"/>
      <w:lvlText w:val="%3."/>
      <w:lvlJc w:val="right"/>
      <w:pPr>
        <w:tabs>
          <w:tab w:val="left" w:pos="2520"/>
        </w:tabs>
        <w:ind w:left="2520" w:hanging="420"/>
      </w:pPr>
    </w:lvl>
    <w:lvl w:ilvl="3" w:tentative="0">
      <w:start w:val="1"/>
      <w:numFmt w:val="decimal"/>
      <w:lvlText w:val="%4."/>
      <w:lvlJc w:val="left"/>
      <w:pPr>
        <w:tabs>
          <w:tab w:val="left" w:pos="2940"/>
        </w:tabs>
        <w:ind w:left="2940" w:hanging="420"/>
      </w:pPr>
    </w:lvl>
    <w:lvl w:ilvl="4" w:tentative="0">
      <w:start w:val="1"/>
      <w:numFmt w:val="lowerLetter"/>
      <w:lvlText w:val="%5)"/>
      <w:lvlJc w:val="left"/>
      <w:pPr>
        <w:tabs>
          <w:tab w:val="left" w:pos="3360"/>
        </w:tabs>
        <w:ind w:left="3360" w:hanging="420"/>
      </w:pPr>
    </w:lvl>
    <w:lvl w:ilvl="5" w:tentative="0">
      <w:start w:val="1"/>
      <w:numFmt w:val="lowerRoman"/>
      <w:lvlText w:val="%6."/>
      <w:lvlJc w:val="right"/>
      <w:pPr>
        <w:tabs>
          <w:tab w:val="left" w:pos="3780"/>
        </w:tabs>
        <w:ind w:left="3780" w:hanging="420"/>
      </w:pPr>
    </w:lvl>
    <w:lvl w:ilvl="6" w:tentative="0">
      <w:start w:val="1"/>
      <w:numFmt w:val="decimal"/>
      <w:lvlText w:val="%7."/>
      <w:lvlJc w:val="left"/>
      <w:pPr>
        <w:tabs>
          <w:tab w:val="left" w:pos="4200"/>
        </w:tabs>
        <w:ind w:left="4200" w:hanging="420"/>
      </w:pPr>
    </w:lvl>
    <w:lvl w:ilvl="7" w:tentative="0">
      <w:start w:val="1"/>
      <w:numFmt w:val="lowerLetter"/>
      <w:lvlText w:val="%8)"/>
      <w:lvlJc w:val="left"/>
      <w:pPr>
        <w:tabs>
          <w:tab w:val="left" w:pos="4620"/>
        </w:tabs>
        <w:ind w:left="4620" w:hanging="420"/>
      </w:pPr>
    </w:lvl>
    <w:lvl w:ilvl="8" w:tentative="0">
      <w:start w:val="1"/>
      <w:numFmt w:val="lowerRoman"/>
      <w:lvlText w:val="%9."/>
      <w:lvlJc w:val="right"/>
      <w:pPr>
        <w:tabs>
          <w:tab w:val="left" w:pos="5040"/>
        </w:tabs>
        <w:ind w:left="50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wYjQxNzhkMjQ5ZWU2ZTNkYWVjMDM4NmY4ZTY4NWEifQ=="/>
  </w:docVars>
  <w:rsids>
    <w:rsidRoot w:val="00000000"/>
    <w:rsid w:val="38D91FF8"/>
    <w:rsid w:val="4FD91B2D"/>
    <w:rsid w:val="56F03D75"/>
    <w:rsid w:val="798427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 w:type="paragraph" w:customStyle="1" w:styleId="4">
    <w:name w:val="UP正文编号"/>
    <w:basedOn w:val="1"/>
    <w:autoRedefine/>
    <w:qFormat/>
    <w:uiPriority w:val="0"/>
    <w:pPr>
      <w:numPr>
        <w:ilvl w:val="0"/>
        <w:numId w:val="1"/>
      </w:numPr>
      <w:spacing w:line="360" w:lineRule="auto"/>
    </w:pPr>
    <w:rPr>
      <w:rFonts w:ascii="Tahoma" w:hAnsi="Times New Roman" w:eastAsia="宋体"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401</Words>
  <Characters>447</Characters>
  <Lines>0</Lines>
  <Paragraphs>0</Paragraphs>
  <TotalTime>2</TotalTime>
  <ScaleCrop>false</ScaleCrop>
  <LinksUpToDate>false</LinksUpToDate>
  <CharactersWithSpaces>450</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2024-04-02T08:24:00Z</dcterms:created>
  <dc:creator>ASUS</dc:creator>
  <cp:lastModifiedBy>吴雨蕊</cp:lastModifiedBy>
  <dcterms:modified xsi:type="dcterms:W3CDTF">2024-05-15T00:34:59Z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417F39717870476FB5DC66A51394EB98_13</vt:lpwstr>
  </property>
</Properties>
</file>