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pStyle w:val="9"/>
        <w:spacing w:line="360" w:lineRule="auto"/>
        <w:ind w:left="0" w:leftChars="0" w:firstLine="0" w:firstLineChars="0"/>
        <w:outlineLvl w:val="0"/>
        <w:rPr>
          <w:rFonts w:hint="eastAsia" w:ascii="宋体" w:hAnsi="宋体" w:eastAsia="宋体" w:cs="宋体"/>
          <w:color w:val="auto"/>
          <w:lang w:val="en-US"/>
        </w:rPr>
      </w:pPr>
      <w:r>
        <w:rPr>
          <w:rFonts w:hint="eastAsia" w:ascii="宋体" w:hAnsi="宋体" w:eastAsia="宋体" w:cs="宋体"/>
          <w:b/>
          <w:color w:val="auto"/>
        </w:rPr>
        <w:t>一、项目名称</w:t>
      </w:r>
      <w:r>
        <w:rPr>
          <w:rFonts w:hint="eastAsia" w:ascii="宋体" w:hAnsi="宋体" w:eastAsia="宋体" w:cs="宋体"/>
          <w:bCs/>
          <w:color w:val="auto"/>
        </w:rPr>
        <w:t>：</w:t>
      </w:r>
      <w:r>
        <w:rPr>
          <w:rFonts w:hint="eastAsia" w:ascii="宋体" w:hAnsi="宋体" w:eastAsia="宋体" w:cs="宋体"/>
          <w:b/>
          <w:color w:val="auto"/>
        </w:rPr>
        <w:t>雅安市人民医院202</w:t>
      </w:r>
      <w:r>
        <w:rPr>
          <w:rFonts w:hint="eastAsia" w:ascii="宋体" w:hAnsi="宋体" w:eastAsia="宋体" w:cs="宋体"/>
          <w:b/>
          <w:color w:val="auto"/>
          <w:lang w:val="en-US"/>
        </w:rPr>
        <w:t>4</w:t>
      </w:r>
      <w:r>
        <w:rPr>
          <w:rFonts w:hint="eastAsia" w:ascii="宋体" w:hAnsi="宋体" w:eastAsia="宋体" w:cs="宋体"/>
          <w:b/>
          <w:color w:val="auto"/>
        </w:rPr>
        <w:t>年</w:t>
      </w:r>
      <w:r>
        <w:rPr>
          <w:rFonts w:hint="eastAsia" w:ascii="宋体" w:hAnsi="宋体" w:eastAsia="宋体" w:cs="宋体"/>
          <w:b/>
          <w:color w:val="auto"/>
          <w:lang w:val="en-US"/>
        </w:rPr>
        <w:t>服务器主机安全</w:t>
      </w:r>
      <w:r>
        <w:rPr>
          <w:rFonts w:hint="eastAsia" w:ascii="宋体" w:hAnsi="宋体" w:eastAsia="宋体" w:cs="宋体"/>
          <w:b/>
          <w:color w:val="auto"/>
        </w:rPr>
        <w:t>项目</w:t>
      </w:r>
    </w:p>
    <w:tbl>
      <w:tblPr>
        <w:tblStyle w:val="7"/>
        <w:tblpPr w:leftFromText="180" w:rightFromText="180" w:vertAnchor="text" w:horzAnchor="page" w:tblpX="1597" w:tblpY="266"/>
        <w:tblOverlap w:val="never"/>
        <w:tblW w:w="93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8"/>
        <w:gridCol w:w="3009"/>
        <w:gridCol w:w="2280"/>
        <w:gridCol w:w="1500"/>
        <w:gridCol w:w="17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4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序号</w:t>
            </w:r>
          </w:p>
        </w:tc>
        <w:tc>
          <w:tcPr>
            <w:tcW w:w="300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产品名称</w:t>
            </w:r>
          </w:p>
        </w:tc>
        <w:tc>
          <w:tcPr>
            <w:tcW w:w="228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数量</w:t>
            </w:r>
          </w:p>
        </w:tc>
        <w:tc>
          <w:tcPr>
            <w:tcW w:w="150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单位</w:t>
            </w:r>
          </w:p>
        </w:tc>
        <w:tc>
          <w:tcPr>
            <w:tcW w:w="171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szCs w:val="21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84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300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服务器主机安全</w:t>
            </w:r>
          </w:p>
        </w:tc>
        <w:tc>
          <w:tcPr>
            <w:tcW w:w="2280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eastAsia="宋体" w:cs="宋体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szCs w:val="21"/>
                <w:lang w:val="en-US" w:eastAsia="zh-CN"/>
              </w:rPr>
              <w:t>50</w:t>
            </w:r>
          </w:p>
        </w:tc>
        <w:tc>
          <w:tcPr>
            <w:tcW w:w="150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Cs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Cs/>
                <w:szCs w:val="21"/>
                <w:lang w:val="en-US" w:eastAsia="zh-CN"/>
              </w:rPr>
              <w:t>台</w:t>
            </w:r>
          </w:p>
        </w:tc>
        <w:tc>
          <w:tcPr>
            <w:tcW w:w="1711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cs="宋体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szCs w:val="21"/>
                <w:lang w:val="en-US" w:eastAsia="zh-CN"/>
              </w:rPr>
              <w:t>含35台内网服务器及15台外网服务器</w:t>
            </w:r>
          </w:p>
        </w:tc>
      </w:tr>
    </w:tbl>
    <w:p>
      <w:pPr>
        <w:pStyle w:val="9"/>
        <w:spacing w:line="360" w:lineRule="auto"/>
        <w:ind w:left="0" w:leftChars="0" w:firstLine="0" w:firstLineChars="0"/>
        <w:outlineLvl w:val="0"/>
        <w:rPr>
          <w:rFonts w:hint="eastAsia" w:ascii="宋体" w:hAnsi="宋体" w:eastAsia="宋体" w:cs="宋体"/>
          <w:b/>
          <w:color w:val="auto"/>
          <w:lang w:val="en-US"/>
        </w:rPr>
      </w:pPr>
    </w:p>
    <w:p>
      <w:pPr>
        <w:spacing w:line="360" w:lineRule="auto"/>
        <w:outlineLvl w:val="0"/>
        <w:rPr>
          <w:rFonts w:hint="eastAsia" w:ascii="宋体" w:hAnsi="宋体" w:eastAsia="Arial Unicode MS" w:cs="宋体"/>
        </w:rPr>
      </w:pPr>
      <w:r>
        <w:rPr>
          <w:rFonts w:hint="eastAsia" w:ascii="宋体" w:hAnsi="宋体" w:cs="宋体"/>
          <w:b/>
          <w:sz w:val="24"/>
          <w:lang w:val="en-US" w:eastAsia="zh-CN"/>
        </w:rPr>
        <w:t>二</w:t>
      </w:r>
      <w:r>
        <w:rPr>
          <w:rFonts w:hint="eastAsia" w:ascii="宋体" w:hAnsi="宋体" w:cs="宋体"/>
          <w:b/>
          <w:sz w:val="24"/>
          <w:lang w:val="zh-CN"/>
        </w:rPr>
        <w:t>、资格条件：</w:t>
      </w:r>
    </w:p>
    <w:p>
      <w:pPr>
        <w:pStyle w:val="10"/>
        <w:spacing w:line="440" w:lineRule="exact"/>
        <w:ind w:left="0" w:leftChars="0" w:firstLine="0" w:firstLineChars="0"/>
        <w:rPr>
          <w:rFonts w:hint="eastAsia" w:ascii="宋体" w:hAnsi="宋体" w:cs="宋体"/>
          <w:sz w:val="24"/>
          <w:lang w:val="zh-CN"/>
        </w:rPr>
      </w:pPr>
      <w:r>
        <w:rPr>
          <w:rFonts w:hint="eastAsia" w:ascii="宋体" w:hAnsi="宋体" w:cs="宋体"/>
          <w:sz w:val="24"/>
        </w:rPr>
        <w:t>本项目的特定资格要求：</w:t>
      </w:r>
    </w:p>
    <w:p>
      <w:pPr>
        <w:pStyle w:val="10"/>
        <w:spacing w:line="440" w:lineRule="exact"/>
        <w:ind w:firstLine="480"/>
        <w:rPr>
          <w:rFonts w:hint="eastAsia" w:ascii="宋体" w:hAnsi="宋体"/>
          <w:sz w:val="24"/>
        </w:rPr>
      </w:pPr>
      <w:r>
        <w:rPr>
          <w:rFonts w:hint="eastAsia" w:ascii="宋体" w:hAnsi="宋体" w:cs="宋体"/>
          <w:sz w:val="24"/>
        </w:rPr>
        <w:t>参加本次政府采购活动的供应商单位及其现任法定代表人、主要负责人在近三年内无行贿犯罪记录。</w:t>
      </w:r>
    </w:p>
    <w:p>
      <w:pPr>
        <w:pStyle w:val="2"/>
        <w:spacing w:line="360" w:lineRule="auto"/>
        <w:rPr>
          <w:rFonts w:cs="宋体"/>
          <w:sz w:val="24"/>
          <w:szCs w:val="24"/>
        </w:rPr>
      </w:pPr>
      <w:r>
        <w:rPr>
          <w:rFonts w:hint="eastAsia" w:cs="宋体"/>
          <w:sz w:val="24"/>
          <w:szCs w:val="24"/>
          <w:lang w:val="en-US" w:eastAsia="zh-CN"/>
        </w:rPr>
        <w:t>三</w:t>
      </w:r>
      <w:r>
        <w:rPr>
          <w:rFonts w:cs="宋体"/>
          <w:sz w:val="24"/>
          <w:szCs w:val="24"/>
        </w:rPr>
        <w:t>、建设内容详细技术参数要求：</w:t>
      </w:r>
    </w:p>
    <w:tbl>
      <w:tblPr>
        <w:tblStyle w:val="7"/>
        <w:tblW w:w="83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1667"/>
        <w:gridCol w:w="59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/>
                <w:b/>
                <w:bCs/>
                <w:kern w:val="0"/>
                <w:sz w:val="24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1667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/>
                <w:b/>
                <w:bCs/>
                <w:kern w:val="0"/>
                <w:sz w:val="24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4"/>
              </w:rPr>
              <w:t>建设内容</w:t>
            </w:r>
          </w:p>
        </w:tc>
        <w:tc>
          <w:tcPr>
            <w:tcW w:w="5949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/>
                <w:b/>
                <w:bCs/>
                <w:kern w:val="0"/>
                <w:sz w:val="24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4"/>
              </w:rPr>
              <w:t>技术参数要求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166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服务器</w:t>
            </w:r>
            <w:r>
              <w:rPr>
                <w:rFonts w:hint="eastAsia" w:ascii="宋体" w:hAnsi="宋体" w:cs="宋体"/>
                <w:sz w:val="20"/>
                <w:szCs w:val="20"/>
              </w:rPr>
              <w:t>主机安全</w:t>
            </w:r>
          </w:p>
        </w:tc>
        <w:tc>
          <w:tcPr>
            <w:tcW w:w="5949" w:type="dxa"/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cs="宋体"/>
                <w:szCs w:val="21"/>
                <w:highlight w:val="none"/>
                <w:shd w:val="clear" w:color="auto" w:fill="FFFFFF"/>
              </w:rPr>
              <w:t>1) 支持对CPU、内存、磁盘读写、网络上下行流量达到配置阈值时告警。支持对CPU、内存达到一定阈值时客户端进行熔断； 2）具备病毒查杀、登录防护、微隔离、漏洞管理、性能监控、防端口扫描、日志检索功能；</w:t>
            </w:r>
          </w:p>
          <w:p>
            <w:pPr>
              <w:spacing w:line="360" w:lineRule="auto"/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</w:rPr>
              <w:t>3)支持针对CC攻击进行有效防护。</w:t>
            </w:r>
          </w:p>
          <w:p>
            <w:pPr>
              <w:spacing w:line="360" w:lineRule="auto"/>
              <w:rPr>
                <w:rFonts w:hint="eastAsia" w:ascii="宋体" w:hAnsi="宋体" w:cs="宋体"/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shd w:val="clear" w:color="auto" w:fill="FFFFFF"/>
              </w:rPr>
              <w:t>4) 支持违规外联支持黑、白名单双模式，白名单模式可配置是否允许访问特定的网站和地址；黑名单模式可自定义恶意IP，支持黑名单告警和阻断；</w:t>
            </w:r>
          </w:p>
          <w:p>
            <w:pPr>
              <w:spacing w:line="360" w:lineRule="auto"/>
              <w:rPr>
                <w:rFonts w:hint="eastAsia"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shd w:val="clear" w:color="auto" w:fill="FFFFFF"/>
              </w:rPr>
              <w:t>5) 针对未知勒索病毒具有高度识别能力，支持对其进行精准识别，能够对全网实现联动保护；</w:t>
            </w:r>
            <w:r>
              <w:rPr>
                <w:rFonts w:hint="eastAsia" w:ascii="宋体" w:hAnsi="宋体" w:cs="宋体"/>
                <w:color w:val="auto"/>
                <w:szCs w:val="21"/>
              </w:rPr>
              <w:t xml:space="preserve"> </w:t>
            </w:r>
          </w:p>
          <w:p>
            <w:pPr>
              <w:spacing w:line="360" w:lineRule="exact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lang w:val="en-US" w:eastAsia="zh-CN"/>
              </w:rPr>
              <w:t>6）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7*24小时售后服务，且需要提供设备授权及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安装；维修、保养、人员培训均需要提供相应服务。</w:t>
            </w:r>
          </w:p>
        </w:tc>
      </w:tr>
    </w:tbl>
    <w:p>
      <w:pPr>
        <w:widowControl/>
        <w:spacing w:line="360" w:lineRule="auto"/>
        <w:rPr>
          <w:rFonts w:hint="eastAsia" w:ascii="宋体" w:hAnsi="宋体" w:cs="宋体"/>
          <w:sz w:val="24"/>
        </w:rPr>
      </w:pPr>
    </w:p>
    <w:p>
      <w:pPr>
        <w:rPr>
          <w:rFonts w:hint="default" w:eastAsia="宋体"/>
          <w:b/>
          <w:bCs/>
          <w:sz w:val="24"/>
          <w:szCs w:val="24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QzNGRjYjk2MjU1OGFiNGMwN2E1YTk3YzhlOWIwZDkifQ=="/>
    <w:docVar w:name="KSO_WPS_MARK_KEY" w:val="57cbd58a-0d2a-4e6f-a6a8-4ca717c310d8"/>
  </w:docVars>
  <w:rsids>
    <w:rsidRoot w:val="268D6966"/>
    <w:rsid w:val="25EF00D7"/>
    <w:rsid w:val="268D6966"/>
    <w:rsid w:val="43AC2886"/>
    <w:rsid w:val="43C57DBB"/>
    <w:rsid w:val="52A33E04"/>
    <w:rsid w:val="55D627F9"/>
    <w:rsid w:val="6D5BB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qFormat="1" w:uiPriority="39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/>
      <w:b/>
      <w:bCs/>
      <w:kern w:val="0"/>
      <w:sz w:val="27"/>
      <w:szCs w:val="27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unhideWhenUsed/>
    <w:qFormat/>
    <w:uiPriority w:val="99"/>
    <w:pPr>
      <w:ind w:firstLine="420" w:firstLineChars="200"/>
    </w:pPr>
  </w:style>
  <w:style w:type="paragraph" w:styleId="4">
    <w:name w:val="Body Text"/>
    <w:basedOn w:val="1"/>
    <w:next w:val="5"/>
    <w:qFormat/>
    <w:uiPriority w:val="0"/>
    <w:rPr>
      <w:sz w:val="18"/>
    </w:rPr>
  </w:style>
  <w:style w:type="paragraph" w:styleId="5">
    <w:name w:val="Body Text First Indent"/>
    <w:basedOn w:val="4"/>
    <w:next w:val="6"/>
    <w:unhideWhenUsed/>
    <w:qFormat/>
    <w:uiPriority w:val="99"/>
    <w:pPr>
      <w:ind w:firstLine="420" w:firstLineChars="100"/>
    </w:pPr>
  </w:style>
  <w:style w:type="paragraph" w:styleId="6">
    <w:name w:val="toc 6"/>
    <w:basedOn w:val="1"/>
    <w:next w:val="1"/>
    <w:unhideWhenUsed/>
    <w:qFormat/>
    <w:uiPriority w:val="39"/>
    <w:pPr>
      <w:ind w:left="1050"/>
      <w:jc w:val="left"/>
    </w:pPr>
    <w:rPr>
      <w:sz w:val="18"/>
      <w:szCs w:val="18"/>
    </w:rPr>
  </w:style>
  <w:style w:type="paragraph" w:customStyle="1" w:styleId="9">
    <w:name w:val="图表目录1"/>
    <w:basedOn w:val="1"/>
    <w:next w:val="1"/>
    <w:qFormat/>
    <w:uiPriority w:val="0"/>
    <w:pPr>
      <w:ind w:left="200" w:leftChars="200" w:hanging="200" w:hangingChars="200"/>
    </w:pPr>
    <w:rPr>
      <w:rFonts w:ascii="Arial Unicode MS" w:hAnsi="Arial Unicode MS" w:eastAsia="Arial Unicode MS" w:cs="Arial Unicode MS"/>
      <w:color w:val="000000"/>
      <w:sz w:val="24"/>
      <w:lang w:val="zh-CN"/>
    </w:rPr>
  </w:style>
  <w:style w:type="paragraph" w:customStyle="1" w:styleId="10">
    <w:name w:val="正文首行缩进两字符"/>
    <w:basedOn w:val="1"/>
    <w:qFormat/>
    <w:uiPriority w:val="0"/>
    <w:pPr>
      <w:spacing w:line="360" w:lineRule="auto"/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470</Words>
  <Characters>499</Characters>
  <Lines>0</Lines>
  <Paragraphs>0</Paragraphs>
  <TotalTime>7</TotalTime>
  <ScaleCrop>false</ScaleCrop>
  <LinksUpToDate>false</LinksUpToDate>
  <CharactersWithSpaces>504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2024-09-02T16:32:00Z</dcterms:created>
  <dc:creator>张宏</dc:creator>
  <cp:lastModifiedBy>黄夏梦璐</cp:lastModifiedBy>
  <dcterms:modified xsi:type="dcterms:W3CDTF">2024-10-22T07:04:59Z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BCECF5A9ABAF4F33A0017DB7FD552312_13</vt:lpwstr>
  </property>
</Properties>
</file>