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0F1471">
      <w:pPr>
        <w:pStyle w:val="2"/>
        <w:bidi w:val="0"/>
        <w:rPr>
          <w:rFonts w:hint="eastAsia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技术参数及要求</w:t>
      </w:r>
    </w:p>
    <w:tbl>
      <w:tblPr>
        <w:tblStyle w:val="4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992"/>
        <w:gridCol w:w="6793"/>
        <w:gridCol w:w="903"/>
      </w:tblGrid>
      <w:tr w14:paraId="63669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66" w:type="dxa"/>
            <w:noWrap w:val="0"/>
            <w:vAlign w:val="top"/>
          </w:tcPr>
          <w:p w14:paraId="4DEC0179">
            <w:pPr>
              <w:pStyle w:val="3"/>
              <w:spacing w:line="360" w:lineRule="auto"/>
              <w:rPr>
                <w:b/>
                <w:bCs/>
                <w:color w:val="auto"/>
                <w:sz w:val="24"/>
                <w:szCs w:val="24"/>
              </w:rPr>
            </w:pPr>
            <w:r>
              <w:rPr>
                <w:b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992" w:type="dxa"/>
            <w:noWrap w:val="0"/>
            <w:vAlign w:val="center"/>
          </w:tcPr>
          <w:p w14:paraId="7E5167A1">
            <w:pPr>
              <w:pStyle w:val="3"/>
              <w:spacing w:line="360" w:lineRule="auto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>
              <w:rPr>
                <w:b/>
                <w:bCs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6793" w:type="dxa"/>
            <w:noWrap w:val="0"/>
            <w:vAlign w:val="center"/>
          </w:tcPr>
          <w:p w14:paraId="174E6219">
            <w:pPr>
              <w:pStyle w:val="3"/>
              <w:spacing w:line="360" w:lineRule="auto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>
              <w:rPr>
                <w:b/>
                <w:bCs/>
                <w:color w:val="auto"/>
                <w:sz w:val="24"/>
                <w:szCs w:val="24"/>
              </w:rPr>
              <w:t>技术参数</w:t>
            </w:r>
          </w:p>
        </w:tc>
        <w:tc>
          <w:tcPr>
            <w:tcW w:w="903" w:type="dxa"/>
            <w:noWrap w:val="0"/>
            <w:vAlign w:val="center"/>
          </w:tcPr>
          <w:p w14:paraId="610304A0">
            <w:pPr>
              <w:pStyle w:val="3"/>
              <w:spacing w:line="360" w:lineRule="auto"/>
              <w:jc w:val="center"/>
              <w:rPr>
                <w:rFonts w:hint="eastAsia" w:eastAsia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lang w:eastAsia="zh-CN"/>
              </w:rPr>
              <w:t>备注</w:t>
            </w:r>
          </w:p>
        </w:tc>
      </w:tr>
      <w:tr w14:paraId="657079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  <w:jc w:val="center"/>
        </w:trPr>
        <w:tc>
          <w:tcPr>
            <w:tcW w:w="666" w:type="dxa"/>
            <w:tcBorders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03BEEC">
            <w:pPr>
              <w:wordWrap w:val="0"/>
              <w:spacing w:line="360" w:lineRule="auto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615653">
            <w:pPr>
              <w:wordWrap w:val="0"/>
              <w:spacing w:line="360" w:lineRule="auto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铱-192后装源</w:t>
            </w:r>
          </w:p>
        </w:tc>
        <w:tc>
          <w:tcPr>
            <w:tcW w:w="6793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3BD2DF"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1、核素：192Ir </w:t>
            </w:r>
          </w:p>
          <w:p w14:paraId="3E88EDDE"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2、半衰期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73.83-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74.2天</w:t>
            </w:r>
          </w:p>
          <w:p w14:paraId="5C7B9E43"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3、源壳尺寸：1.1*6.5mm</w:t>
            </w:r>
          </w:p>
          <w:p w14:paraId="4F02C305"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4、活性区尺寸：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0.6-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0.7*3.5mm</w:t>
            </w:r>
          </w:p>
          <w:p w14:paraId="0EF38A33"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5、源壳厚度：0.15mm</w:t>
            </w:r>
          </w:p>
          <w:p w14:paraId="38DE24FB"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6、源壳、源辫材料：06Cr19N110</w:t>
            </w:r>
          </w:p>
          <w:p w14:paraId="61869BDD"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7、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源性状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192Ir 源芯密封于焊接在不锈钢丝绳源辫上的不锈钢源壳中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。</w:t>
            </w:r>
          </w:p>
          <w:p w14:paraId="36F56FE9">
            <w:pPr>
              <w:widowControl/>
              <w:shd w:val="clear" w:color="auto" w:fill="auto"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8、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放射源需与医院现有后装源治疗机匹配，本院现有后装治疗机为江苏海明医疗器械有限公司生产的HM-HDR型放射治疗机。</w:t>
            </w:r>
          </w:p>
          <w:p w14:paraId="315564DA">
            <w:pPr>
              <w:widowControl/>
              <w:shd w:val="clear" w:color="auto" w:fill="auto"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9、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安全等级:GB4075-2009-C53211</w:t>
            </w:r>
          </w:p>
          <w:p w14:paraId="114C92EA">
            <w:pPr>
              <w:widowControl/>
              <w:shd w:val="clear" w:color="auto" w:fill="auto"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10、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符合以下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质量检查:</w:t>
            </w:r>
          </w:p>
          <w:p w14:paraId="56DA617E"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按照 GB15849-1995 中的擦拭法对 192Ir 源进行表面沾污检验。用蘸有酒精的棉球以中等力度擦拭整个源的外表面，然后将棉球置于测试瓶内，用v计数器测量棉球上的放射性活度，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应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小于200Bq。</w:t>
            </w:r>
          </w:p>
          <w:p w14:paraId="0CDF32DF"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用超声波清洗器在水溶液中清洗源的外表面，取水溶液于测量瓶中，用y计数器测量样品中的放射性活度，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应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小于 200Bq。</w:t>
            </w:r>
          </w:p>
          <w:p w14:paraId="212156D8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11、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产品包装:铅罐</w:t>
            </w:r>
          </w:p>
          <w:p w14:paraId="63DEB268">
            <w:pPr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12、其他要求</w:t>
            </w:r>
          </w:p>
          <w:p w14:paraId="0ECBA954">
            <w:pPr>
              <w:widowControl/>
              <w:numPr>
                <w:ilvl w:val="0"/>
                <w:numId w:val="0"/>
              </w:numPr>
              <w:spacing w:line="360" w:lineRule="auto"/>
              <w:ind w:leftChars="0" w:firstLine="480" w:firstLineChars="2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（1）供货方须完成:新源供应、新源运输、废源处理、废源运输、新旧源倒装；运输过程必须符合国家相关要求。</w:t>
            </w:r>
          </w:p>
          <w:p w14:paraId="0341CAEA">
            <w:pPr>
              <w:widowControl/>
              <w:numPr>
                <w:ilvl w:val="0"/>
                <w:numId w:val="0"/>
              </w:numPr>
              <w:spacing w:line="360" w:lineRule="auto"/>
              <w:ind w:leftChars="0" w:firstLine="480" w:firstLineChars="2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（2）负责给医院进行导源安装（调试）的售后的服务；</w:t>
            </w:r>
          </w:p>
          <w:p w14:paraId="3AD09A1A">
            <w:pPr>
              <w:widowControl/>
              <w:numPr>
                <w:ilvl w:val="0"/>
                <w:numId w:val="0"/>
              </w:numPr>
              <w:spacing w:line="360" w:lineRule="auto"/>
              <w:ind w:leftChars="0" w:firstLine="480" w:firstLineChars="2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（3）供货要求：负责现场安装调试，安装后能正常使用。</w:t>
            </w:r>
          </w:p>
          <w:p w14:paraId="0D388241">
            <w:pPr>
              <w:widowControl/>
              <w:numPr>
                <w:ilvl w:val="0"/>
                <w:numId w:val="0"/>
              </w:numPr>
              <w:spacing w:line="360" w:lineRule="auto"/>
              <w:ind w:leftChars="0" w:firstLine="480" w:firstLineChars="2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（4）供应商商负责配合办理新旧放射源的转运交接相关手续。</w:t>
            </w:r>
          </w:p>
          <w:p w14:paraId="240C6F25">
            <w:pPr>
              <w:widowControl/>
              <w:numPr>
                <w:ilvl w:val="0"/>
                <w:numId w:val="0"/>
              </w:numPr>
              <w:spacing w:line="360" w:lineRule="auto"/>
              <w:ind w:leftChars="0" w:firstLine="480" w:firstLineChars="2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（5）能够通过国家环保部审核。</w:t>
            </w:r>
          </w:p>
          <w:p w14:paraId="074FE00E">
            <w:pPr>
              <w:widowControl/>
              <w:numPr>
                <w:ilvl w:val="0"/>
                <w:numId w:val="0"/>
              </w:numPr>
              <w:spacing w:line="360" w:lineRule="auto"/>
              <w:ind w:leftChars="0" w:firstLine="480" w:firstLineChars="200"/>
              <w:jc w:val="left"/>
              <w:rPr>
                <w:rFonts w:hint="default" w:ascii="微软雅黑" w:hAnsi="微软雅黑" w:eastAsia="微软雅黑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（6）新放射源安装后能够通过环评。</w:t>
            </w:r>
          </w:p>
        </w:tc>
        <w:tc>
          <w:tcPr>
            <w:tcW w:w="903" w:type="dxa"/>
            <w:tcBorders>
              <w:lef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044BA8">
            <w:pPr>
              <w:wordWrap w:val="0"/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</w:tbl>
    <w:p w14:paraId="3C1570B7">
      <w:pPr>
        <w:pStyle w:val="2"/>
        <w:rPr>
          <w:rFonts w:hint="eastAsia" w:ascii="Times New Roman" w:hAnsi="Times New Roman" w:eastAsia="宋体" w:cs="Times New Roman"/>
          <w:b/>
          <w:color w:val="auto"/>
          <w:szCs w:val="22"/>
          <w:highlight w:val="none"/>
        </w:rPr>
      </w:pPr>
      <w:r>
        <w:rPr>
          <w:rFonts w:hint="eastAsia"/>
          <w:lang w:val="en-US" w:eastAsia="zh-CN"/>
        </w:rPr>
        <w:t>2、</w:t>
      </w:r>
      <w:r>
        <w:rPr>
          <w:rFonts w:hint="eastAsia" w:ascii="Times New Roman" w:hAnsi="Times New Roman" w:eastAsia="宋体" w:cs="Times New Roman"/>
          <w:b/>
          <w:color w:val="auto"/>
          <w:szCs w:val="22"/>
          <w:highlight w:val="none"/>
        </w:rPr>
        <w:t>资格条件：</w:t>
      </w:r>
    </w:p>
    <w:p w14:paraId="283989CF">
      <w:pPr>
        <w:shd w:val="clear" w:color="auto" w:fill="FFFFFF"/>
        <w:spacing w:line="560" w:lineRule="exact"/>
        <w:ind w:firstLine="64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供应商及所投产品厂家具备有效的辐射安全许可证书。</w:t>
      </w:r>
    </w:p>
    <w:p w14:paraId="52810B58"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360D2C"/>
    <w:rsid w:val="29360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next w:val="1"/>
    <w:qFormat/>
    <w:uiPriority w:val="0"/>
    <w:pPr>
      <w:widowControl w:val="0"/>
      <w:spacing w:after="12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2025-02-20T08:53:00Z</dcterms:created>
  <dc:creator>王莉姣</dc:creator>
  <cp:lastModifiedBy>王莉姣</cp:lastModifiedBy>
  <dcterms:modified xsi:type="dcterms:W3CDTF">2025-02-20T08:56:52Z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D95899EADFE3492B9E5C25A242236D82_11</vt:lpwstr>
  </property>
  <property fmtid="{D5CDD505-2E9C-101B-9397-08002B2CF9AE}" pid="4" name="KSOTemplateDocerSaveRecord">
    <vt:lpwstr>eyJoZGlkIjoiMTYzNjYyZTUwYTY4Y2QyNzdlZTg1ZmM3M2UzZjNmYzMiLCJ1c2VySWQiOiI0MzkwNTUwODUifQ==</vt:lpwstr>
  </property>
</Properties>
</file>