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05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91"/>
        <w:gridCol w:w="4035"/>
        <w:gridCol w:w="2400"/>
        <w:gridCol w:w="1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0575" w:type="dxa"/>
            <w:gridSpan w:val="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设备参数用途及需求功能表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191"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填报时间：</w:t>
            </w:r>
          </w:p>
        </w:tc>
        <w:tc>
          <w:tcPr>
            <w:tcW w:w="8384" w:type="dxa"/>
            <w:gridSpan w:val="3"/>
            <w:tcBorders>
              <w:top w:val="nil"/>
              <w:left w:val="nil"/>
              <w:bottom w:val="nil"/>
              <w:right w:val="nil"/>
            </w:tcBorders>
            <w:shd w:val="clear" w:color="auto" w:fill="auto"/>
            <w:noWrap/>
            <w:vAlign w:val="center"/>
          </w:tcPr>
          <w:p>
            <w:pPr>
              <w:jc w:val="left"/>
              <w:rPr>
                <w:rFonts w:hint="default" w:ascii="宋体" w:hAnsi="宋体" w:eastAsia="宋体" w:cs="宋体"/>
                <w:i w:val="0"/>
                <w:iCs w:val="0"/>
                <w:color w:val="000000"/>
                <w:sz w:val="44"/>
                <w:szCs w:val="44"/>
                <w:u w:val="none"/>
                <w:lang w:val="en-US" w:eastAsia="zh-CN"/>
              </w:rPr>
            </w:pPr>
            <w:r>
              <w:rPr>
                <w:rFonts w:hint="eastAsia" w:ascii="宋体" w:hAnsi="宋体" w:eastAsia="宋体" w:cs="宋体"/>
                <w:i w:val="0"/>
                <w:iCs w:val="0"/>
                <w:color w:val="000000"/>
                <w:sz w:val="44"/>
                <w:szCs w:val="44"/>
                <w:u w:val="none"/>
                <w:lang w:val="en-US" w:eastAsia="zh-CN"/>
              </w:rPr>
              <w:t xml:space="preserve">                     </w:t>
            </w:r>
            <w:r>
              <w:rPr>
                <w:rFonts w:hint="eastAsia" w:ascii="宋体" w:hAnsi="宋体" w:eastAsia="宋体" w:cs="宋体"/>
                <w:i w:val="0"/>
                <w:iCs w:val="0"/>
                <w:color w:val="000000"/>
                <w:kern w:val="0"/>
                <w:sz w:val="22"/>
                <w:szCs w:val="22"/>
                <w:u w:val="none"/>
                <w:lang w:val="en-US" w:eastAsia="zh-CN" w:bidi="ar"/>
              </w:rPr>
              <w:t>科室名称：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设备名称</w:t>
            </w:r>
          </w:p>
        </w:tc>
        <w:tc>
          <w:tcPr>
            <w:tcW w:w="4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γ能谱仪</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7" w:hRule="atLeast"/>
          <w:jc w:val="center"/>
        </w:trPr>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所需设备用途</w:t>
            </w:r>
          </w:p>
        </w:tc>
        <w:tc>
          <w:tcPr>
            <w:tcW w:w="83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480" w:firstLineChars="200"/>
              <w:rPr>
                <w:rFonts w:ascii="仿宋" w:hAnsi="仿宋" w:eastAsia="仿宋" w:cs="仿宋"/>
                <w:color w:val="auto"/>
                <w:sz w:val="24"/>
              </w:rPr>
            </w:pPr>
            <w:r>
              <w:rPr>
                <w:rFonts w:hint="eastAsia" w:ascii="仿宋" w:hAnsi="仿宋" w:eastAsia="仿宋" w:cs="仿宋"/>
                <w:color w:val="auto"/>
                <w:sz w:val="24"/>
              </w:rPr>
              <w:t>1）普通科室PET-CT检查核药以18F-FDG为主，</w:t>
            </w:r>
            <w:r>
              <w:rPr>
                <w:rFonts w:hint="eastAsia" w:ascii="仿宋" w:hAnsi="仿宋" w:eastAsia="仿宋" w:cs="仿宋"/>
                <w:i w:val="0"/>
                <w:iCs w:val="0"/>
                <w:caps w:val="0"/>
                <w:color w:val="auto"/>
                <w:spacing w:val="0"/>
                <w:sz w:val="24"/>
                <w:szCs w:val="24"/>
                <w:shd w:val="clear"/>
              </w:rPr>
              <w:t>FDG作为放射性示踪剂，在医院的核医学领域</w:t>
            </w:r>
            <w:r>
              <w:rPr>
                <w:rFonts w:hint="eastAsia" w:ascii="仿宋" w:hAnsi="仿宋" w:eastAsia="仿宋" w:cs="仿宋"/>
                <w:b w:val="0"/>
                <w:bCs w:val="0"/>
                <w:i w:val="0"/>
                <w:iCs w:val="0"/>
                <w:caps w:val="0"/>
                <w:color w:val="auto"/>
                <w:spacing w:val="0"/>
                <w:kern w:val="2"/>
                <w:sz w:val="24"/>
                <w:szCs w:val="24"/>
                <w:u w:val="none"/>
                <w:shd w:val="clear"/>
                <w:lang w:bidi="ar-SA"/>
              </w:rPr>
              <w:t>肿瘤诊断与疗效评估</w:t>
            </w:r>
            <w:r>
              <w:rPr>
                <w:rFonts w:hint="eastAsia" w:ascii="仿宋" w:hAnsi="仿宋" w:eastAsia="仿宋" w:cs="仿宋"/>
                <w:i w:val="0"/>
                <w:iCs w:val="0"/>
                <w:caps w:val="0"/>
                <w:color w:val="auto"/>
                <w:spacing w:val="0"/>
                <w:sz w:val="24"/>
                <w:szCs w:val="24"/>
                <w:shd w:val="clear"/>
              </w:rPr>
              <w:t>（尤其是PET/CT检查）中具有重要应用</w:t>
            </w:r>
            <w:r>
              <w:rPr>
                <w:rFonts w:hint="eastAsia" w:ascii="仿宋" w:hAnsi="仿宋" w:eastAsia="仿宋" w:cs="仿宋"/>
                <w:i w:val="0"/>
                <w:iCs w:val="0"/>
                <w:caps w:val="0"/>
                <w:color w:val="auto"/>
                <w:spacing w:val="0"/>
                <w:sz w:val="24"/>
                <w:szCs w:val="24"/>
                <w:shd w:val="clear"/>
                <w:lang w:eastAsia="zh-CN"/>
              </w:rPr>
              <w:t>。</w:t>
            </w:r>
            <w:r>
              <w:rPr>
                <w:rFonts w:hint="eastAsia" w:ascii="仿宋" w:hAnsi="仿宋" w:eastAsia="仿宋" w:cs="仿宋"/>
                <w:i w:val="0"/>
                <w:iCs w:val="0"/>
                <w:caps w:val="0"/>
                <w:color w:val="auto"/>
                <w:spacing w:val="0"/>
                <w:sz w:val="24"/>
                <w:szCs w:val="24"/>
                <w:shd w:val="clear"/>
                <w:lang w:val="en-US" w:eastAsia="zh-CN"/>
              </w:rPr>
              <w:t>但是</w:t>
            </w:r>
            <w:r>
              <w:rPr>
                <w:rFonts w:hint="eastAsia" w:ascii="仿宋" w:hAnsi="仿宋" w:eastAsia="仿宋" w:cs="仿宋"/>
                <w:color w:val="auto"/>
                <w:sz w:val="24"/>
              </w:rPr>
              <w:t>假阳性/假阴性较多，但1</w:t>
            </w:r>
            <w:r>
              <w:rPr>
                <w:rFonts w:ascii="仿宋" w:hAnsi="仿宋" w:eastAsia="仿宋" w:cs="仿宋"/>
                <w:color w:val="auto"/>
                <w:sz w:val="24"/>
              </w:rPr>
              <w:t>8F-FDG</w:t>
            </w:r>
            <w:r>
              <w:rPr>
                <w:rFonts w:hint="eastAsia" w:ascii="仿宋" w:hAnsi="仿宋" w:eastAsia="仿宋" w:cs="仿宋"/>
                <w:color w:val="auto"/>
                <w:sz w:val="24"/>
              </w:rPr>
              <w:t>对部分肿瘤/病灶无法完全“确诊”，不能满足临床精准诊疗的需求；</w:t>
            </w:r>
          </w:p>
          <w:p>
            <w:pPr>
              <w:snapToGrid w:val="0"/>
              <w:spacing w:line="360" w:lineRule="auto"/>
              <w:ind w:firstLine="480" w:firstLineChars="200"/>
              <w:jc w:val="left"/>
              <w:rPr>
                <w:rFonts w:ascii="仿宋" w:hAnsi="仿宋" w:eastAsia="仿宋" w:cs="仿宋"/>
                <w:color w:val="auto"/>
                <w:sz w:val="24"/>
              </w:rPr>
            </w:pPr>
            <w:r>
              <w:rPr>
                <w:rFonts w:hint="eastAsia" w:ascii="仿宋" w:hAnsi="仿宋" w:eastAsia="仿宋" w:cs="仿宋"/>
                <w:color w:val="auto"/>
                <w:sz w:val="24"/>
              </w:rPr>
              <w:t>2）国内核医学科应用最广的，常规临床需求最大的是</w:t>
            </w:r>
            <w:r>
              <w:rPr>
                <w:rFonts w:hint="eastAsia" w:ascii="仿宋" w:hAnsi="仿宋" w:eastAsia="仿宋" w:cs="仿宋"/>
                <w:b w:val="0"/>
                <w:bCs w:val="0"/>
                <w:color w:val="auto"/>
                <w:sz w:val="24"/>
              </w:rPr>
              <w:t>诊/疗一体化核药</w:t>
            </w:r>
            <w:r>
              <w:rPr>
                <w:rFonts w:hint="eastAsia" w:ascii="仿宋" w:hAnsi="仿宋" w:eastAsia="仿宋" w:cs="仿宋"/>
                <w:color w:val="auto"/>
                <w:sz w:val="24"/>
              </w:rPr>
              <w:t>。例如68Ga-PSMA前列腺癌诊断、68Ga-DOTATATE神经内分泌瘤诊断、68Ga-FAPI消化道肿瘤诊断等，</w:t>
            </w:r>
            <w:r>
              <w:rPr>
                <w:rFonts w:hint="eastAsia" w:ascii="仿宋" w:hAnsi="仿宋" w:eastAsia="仿宋" w:cs="仿宋"/>
                <w:color w:val="auto"/>
                <w:sz w:val="24"/>
                <w:lang w:val="en-US" w:eastAsia="zh-CN"/>
              </w:rPr>
              <w:t>这也是是未来重要的临床需求</w:t>
            </w:r>
            <w:r>
              <w:rPr>
                <w:rFonts w:hint="eastAsia" w:ascii="仿宋" w:hAnsi="仿宋" w:eastAsia="仿宋" w:cs="仿宋"/>
                <w:color w:val="auto"/>
                <w:sz w:val="24"/>
              </w:rPr>
              <w:t>。。</w:t>
            </w:r>
          </w:p>
          <w:p>
            <w:pPr>
              <w:snapToGrid w:val="0"/>
              <w:spacing w:line="360" w:lineRule="auto"/>
              <w:ind w:firstLine="480" w:firstLineChars="200"/>
              <w:jc w:val="left"/>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在</w:t>
            </w:r>
            <w:r>
              <w:rPr>
                <w:rFonts w:hint="eastAsia" w:ascii="仿宋" w:hAnsi="仿宋" w:eastAsia="仿宋" w:cs="仿宋"/>
                <w:color w:val="auto"/>
                <w:sz w:val="24"/>
              </w:rPr>
              <w:t>《同位素中长期规划2021年-2035年》</w:t>
            </w:r>
            <w:r>
              <w:rPr>
                <w:rFonts w:hint="eastAsia" w:ascii="仿宋" w:hAnsi="仿宋" w:eastAsia="仿宋" w:cs="仿宋"/>
                <w:color w:val="auto"/>
                <w:sz w:val="24"/>
                <w:lang w:val="en-US" w:eastAsia="zh-CN"/>
              </w:rPr>
              <w:t>中指出</w:t>
            </w:r>
            <w:r>
              <w:rPr>
                <w:rFonts w:hint="eastAsia" w:ascii="仿宋" w:hAnsi="仿宋" w:eastAsia="仿宋" w:cs="仿宋"/>
                <w:color w:val="auto"/>
                <w:sz w:val="24"/>
              </w:rPr>
              <w:t>：随着核医药行业的快速发展，越来越多的诊断/治疗核药技术得到推广和临床验证，以及八部委发布的《同位素中长期规划》，国家从政策/法规层面大力支持核医学科的发展，目前通过“院内制剂”的方式，由核医学科自主生产制备满足临床刚需的高特异性创新核药是核医学科发展的趋势（例如68Ga-PSMA前列腺癌诊断、68Ga-DOTATATE神经内分泌瘤诊断、68Ga-FAPI消化道肿瘤诊断</w:t>
            </w:r>
            <w:r>
              <w:rPr>
                <w:rFonts w:hint="eastAsia" w:ascii="仿宋" w:hAnsi="仿宋" w:eastAsia="仿宋" w:cs="仿宋"/>
                <w:color w:val="auto"/>
                <w:sz w:val="24"/>
                <w:lang w:val="en-US" w:eastAsia="zh-CN"/>
              </w:rPr>
              <w:t>等</w:t>
            </w:r>
            <w:r>
              <w:rPr>
                <w:rFonts w:hint="eastAsia" w:ascii="仿宋" w:hAnsi="仿宋" w:eastAsia="仿宋" w:cs="仿宋"/>
                <w:color w:val="auto"/>
                <w:sz w:val="24"/>
              </w:rPr>
              <w:t>）</w:t>
            </w:r>
            <w:r>
              <w:rPr>
                <w:rFonts w:hint="eastAsia" w:ascii="仿宋" w:hAnsi="仿宋" w:eastAsia="仿宋" w:cs="仿宋"/>
                <w:color w:val="auto"/>
                <w:sz w:val="24"/>
                <w:lang w:eastAsia="zh-CN"/>
              </w:rPr>
              <w:t>；</w:t>
            </w:r>
          </w:p>
          <w:p>
            <w:pPr>
              <w:snapToGrid w:val="0"/>
              <w:spacing w:line="360" w:lineRule="auto"/>
              <w:ind w:firstLine="482" w:firstLineChars="200"/>
              <w:jc w:val="left"/>
              <w:rPr>
                <w:rFonts w:ascii="宋体" w:hAnsi="宋体" w:cs="宋体"/>
                <w:sz w:val="28"/>
                <w:szCs w:val="28"/>
              </w:rPr>
            </w:pPr>
            <w:r>
              <w:rPr>
                <w:rFonts w:hint="eastAsia" w:ascii="仿宋" w:hAnsi="仿宋" w:eastAsia="仿宋" w:cs="仿宋"/>
                <w:b/>
                <w:bCs/>
                <w:color w:val="auto"/>
                <w:sz w:val="24"/>
                <w:lang w:val="en-US" w:eastAsia="zh-CN"/>
              </w:rPr>
              <w:t>核药的质量控制</w:t>
            </w:r>
            <w:r>
              <w:rPr>
                <w:rFonts w:hint="eastAsia" w:ascii="仿宋" w:hAnsi="仿宋" w:eastAsia="仿宋" w:cs="仿宋"/>
                <w:color w:val="auto"/>
                <w:sz w:val="24"/>
                <w:lang w:val="en-US" w:eastAsia="zh-CN"/>
              </w:rPr>
              <w:t>是必不可少的指标，其中</w:t>
            </w:r>
            <w:r>
              <w:rPr>
                <w:rFonts w:hint="eastAsia" w:ascii="仿宋" w:hAnsi="仿宋" w:eastAsia="仿宋" w:cs="仿宋"/>
                <w:b/>
                <w:bCs/>
                <w:color w:val="auto"/>
                <w:sz w:val="24"/>
                <w:lang w:val="en-US" w:eastAsia="zh-CN"/>
              </w:rPr>
              <w:t>放射性</w:t>
            </w:r>
            <w:r>
              <w:rPr>
                <w:rFonts w:hint="eastAsia" w:ascii="仿宋" w:hAnsi="仿宋" w:eastAsia="仿宋" w:cs="仿宋"/>
                <w:b/>
                <w:bCs/>
                <w:color w:val="auto"/>
                <w:sz w:val="24"/>
              </w:rPr>
              <w:t>核纯度检查</w:t>
            </w:r>
            <w:r>
              <w:rPr>
                <w:rFonts w:hint="eastAsia" w:ascii="仿宋" w:hAnsi="仿宋" w:eastAsia="仿宋" w:cs="仿宋"/>
                <w:color w:val="auto"/>
                <w:sz w:val="24"/>
                <w:lang w:val="en-US" w:eastAsia="zh-CN"/>
              </w:rPr>
              <w:t>是其中的一项重要指标，</w:t>
            </w:r>
            <w:r>
              <w:rPr>
                <w:rFonts w:hint="eastAsia" w:ascii="仿宋" w:hAnsi="仿宋" w:eastAsia="仿宋" w:cs="仿宋"/>
                <w:color w:val="auto"/>
                <w:sz w:val="24"/>
              </w:rPr>
              <w:t>核纯度检查是核药研发与应用的核心环节，直接关系到诊断准确性、治疗效果及患者安全。</w:t>
            </w:r>
            <w:r>
              <w:rPr>
                <w:rFonts w:hint="eastAsia" w:ascii="仿宋" w:hAnsi="仿宋" w:eastAsia="仿宋" w:cs="仿宋"/>
                <w:color w:val="auto"/>
                <w:sz w:val="24"/>
                <w:lang w:val="en-US" w:eastAsia="zh-CN"/>
              </w:rPr>
              <w:t>需要</w:t>
            </w:r>
            <w:r>
              <w:rPr>
                <w:rFonts w:hint="eastAsia" w:ascii="仿宋" w:hAnsi="仿宋" w:eastAsia="仿宋" w:cs="仿宋"/>
                <w:color w:val="auto"/>
                <w:sz w:val="24"/>
              </w:rPr>
              <w:t>通过严格检测，可避免杂质干扰、控制辐射危害，并满足法规与生产要求。</w:t>
            </w:r>
          </w:p>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所需医疗设备主要功能需求</w:t>
            </w:r>
          </w:p>
        </w:tc>
        <w:tc>
          <w:tcPr>
            <w:tcW w:w="83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360" w:lineRule="auto"/>
              <w:jc w:val="left"/>
              <w:rPr>
                <w:rFonts w:hint="default" w:ascii="宋体" w:hAnsi="宋体" w:eastAsia="仿宋" w:cs="宋体"/>
                <w:i w:val="0"/>
                <w:iCs w:val="0"/>
                <w:color w:val="000000"/>
                <w:sz w:val="22"/>
                <w:szCs w:val="22"/>
                <w:u w:val="none"/>
                <w:lang w:val="en-US" w:eastAsia="zh-CN"/>
              </w:rPr>
            </w:pPr>
            <w:r>
              <w:rPr>
                <w:rFonts w:hint="eastAsia" w:ascii="仿宋" w:hAnsi="仿宋" w:eastAsia="仿宋" w:cs="仿宋"/>
                <w:color w:val="auto"/>
                <w:sz w:val="24"/>
              </w:rPr>
              <w:t>需支持对医用放射性核素（如、⁹⁹mTc、¹⁸F</w:t>
            </w:r>
            <w:r>
              <w:rPr>
                <w:rFonts w:hint="eastAsia" w:ascii="仿宋" w:hAnsi="仿宋" w:eastAsia="仿宋" w:cs="仿宋"/>
                <w:color w:val="auto"/>
                <w:sz w:val="24"/>
                <w:lang w:eastAsia="zh-CN"/>
              </w:rPr>
              <w:t>、</w:t>
            </w:r>
            <w:r>
              <w:rPr>
                <w:rFonts w:hint="eastAsia" w:ascii="仿宋" w:hAnsi="仿宋" w:eastAsia="仿宋" w:cs="仿宋"/>
                <w:color w:val="auto"/>
                <w:sz w:val="24"/>
                <w:vertAlign w:val="superscript"/>
                <w:lang w:val="en-US" w:eastAsia="zh-CN"/>
              </w:rPr>
              <w:t>68</w:t>
            </w:r>
            <w:r>
              <w:rPr>
                <w:rFonts w:hint="eastAsia" w:ascii="仿宋" w:hAnsi="仿宋" w:eastAsia="仿宋" w:cs="仿宋"/>
                <w:color w:val="auto"/>
                <w:sz w:val="24"/>
                <w:lang w:val="en-US" w:eastAsia="zh-CN"/>
              </w:rPr>
              <w:t>Ga、</w:t>
            </w:r>
            <w:r>
              <w:rPr>
                <w:rFonts w:hint="eastAsia" w:ascii="仿宋" w:hAnsi="仿宋" w:eastAsia="仿宋" w:cs="仿宋"/>
                <w:color w:val="auto"/>
                <w:sz w:val="24"/>
                <w:vertAlign w:val="superscript"/>
                <w:lang w:val="en-US" w:eastAsia="zh-CN"/>
              </w:rPr>
              <w:t>177</w:t>
            </w:r>
            <w:r>
              <w:rPr>
                <w:rFonts w:hint="eastAsia" w:ascii="仿宋" w:hAnsi="仿宋" w:eastAsia="仿宋" w:cs="仿宋"/>
                <w:color w:val="auto"/>
                <w:sz w:val="24"/>
                <w:lang w:val="en-US" w:eastAsia="zh-CN"/>
              </w:rPr>
              <w:t>Lu</w:t>
            </w:r>
            <w:r>
              <w:rPr>
                <w:rFonts w:hint="eastAsia" w:ascii="仿宋" w:hAnsi="仿宋" w:eastAsia="仿宋" w:cs="仿宋"/>
                <w:color w:val="auto"/>
                <w:sz w:val="24"/>
              </w:rPr>
              <w:t>等）的高效识别，通过能量分辨率（如≤7% @137Cs的NaI探测器</w:t>
            </w:r>
            <w:r>
              <w:rPr>
                <w:rFonts w:hint="default" w:ascii="仿宋" w:hAnsi="仿宋" w:eastAsia="仿宋" w:cs="仿宋"/>
                <w:color w:val="auto"/>
                <w:sz w:val="24"/>
              </w:rPr>
              <w:fldChar w:fldCharType="begin"/>
            </w:r>
            <w:r>
              <w:rPr>
                <w:rFonts w:hint="default" w:ascii="仿宋" w:hAnsi="仿宋" w:eastAsia="仿宋" w:cs="仿宋"/>
                <w:color w:val="auto"/>
                <w:sz w:val="24"/>
              </w:rPr>
              <w:instrText xml:space="preserve"> HYPERLINK "https://www.hbzhan.com/st111429/product_6846443.html" \t "https://www.n.cn/search/_blank" </w:instrText>
            </w:r>
            <w:r>
              <w:rPr>
                <w:rFonts w:hint="default" w:ascii="仿宋" w:hAnsi="仿宋" w:eastAsia="仿宋" w:cs="仿宋"/>
                <w:color w:val="auto"/>
                <w:sz w:val="24"/>
              </w:rPr>
              <w:fldChar w:fldCharType="separate"/>
            </w:r>
            <w:r>
              <w:rPr>
                <w:rFonts w:hint="default" w:ascii="仿宋" w:hAnsi="仿宋" w:eastAsia="仿宋" w:cs="仿宋"/>
                <w:color w:val="auto"/>
                <w:sz w:val="24"/>
              </w:rPr>
              <w:t>1</w:t>
            </w:r>
            <w:r>
              <w:rPr>
                <w:rFonts w:hint="default" w:ascii="仿宋" w:hAnsi="仿宋" w:eastAsia="仿宋" w:cs="仿宋"/>
                <w:color w:val="auto"/>
                <w:sz w:val="24"/>
              </w:rPr>
              <w:fldChar w:fldCharType="end"/>
            </w:r>
            <w:r>
              <w:rPr>
                <w:rFonts w:hint="default" w:ascii="仿宋" w:hAnsi="仿宋" w:eastAsia="仿宋" w:cs="仿宋"/>
                <w:color w:val="auto"/>
                <w:sz w:val="24"/>
              </w:rPr>
              <w:t>或更高分辨率的高纯锗探测器）区分特征γ射线峰</w:t>
            </w:r>
            <w:r>
              <w:rPr>
                <w:rFonts w:hint="eastAsia" w:ascii="仿宋" w:hAnsi="仿宋" w:eastAsia="仿宋" w:cs="仿宋"/>
                <w:color w:val="auto"/>
                <w:sz w:val="24"/>
                <w:lang w:val="en-US" w:eastAsia="zh-CN"/>
              </w:rPr>
              <w:t>,实现对核素放射性核纯度，</w:t>
            </w:r>
            <w:r>
              <w:rPr>
                <w:rFonts w:hint="eastAsia" w:ascii="仿宋" w:hAnsi="仿宋" w:eastAsia="仿宋" w:cs="仿宋"/>
                <w:color w:val="auto"/>
                <w:sz w:val="24"/>
              </w:rPr>
              <w:t>可避免杂质干扰、控制辐射危害，</w:t>
            </w:r>
            <w:r>
              <w:rPr>
                <w:rFonts w:hint="eastAsia" w:ascii="仿宋" w:hAnsi="仿宋" w:eastAsia="仿宋" w:cs="仿宋"/>
                <w:color w:val="auto"/>
                <w:sz w:val="24"/>
                <w:lang w:val="en-US" w:eastAsia="zh-CN"/>
              </w:rPr>
              <w:t>支</w:t>
            </w:r>
            <w:r>
              <w:rPr>
                <w:rFonts w:hint="default" w:ascii="仿宋" w:hAnsi="仿宋" w:eastAsia="仿宋" w:cs="仿宋"/>
                <w:color w:val="auto"/>
                <w:sz w:val="24"/>
                <w:lang w:val="en-US" w:eastAsia="zh-CN"/>
              </w:rPr>
              <w:t>持</w:t>
            </w:r>
            <w:r>
              <w:rPr>
                <w:rFonts w:hint="eastAsia" w:ascii="仿宋" w:hAnsi="仿宋" w:eastAsia="仿宋" w:cs="仿宋"/>
                <w:b/>
                <w:bCs/>
                <w:color w:val="auto"/>
                <w:sz w:val="24"/>
                <w:lang w:val="en-US" w:eastAsia="zh-CN"/>
              </w:rPr>
              <w:t>各类</w:t>
            </w:r>
            <w:r>
              <w:rPr>
                <w:rFonts w:hint="default" w:ascii="仿宋" w:hAnsi="仿宋" w:eastAsia="仿宋" w:cs="仿宋"/>
                <w:b/>
                <w:bCs/>
                <w:color w:val="auto"/>
                <w:sz w:val="24"/>
                <w:lang w:val="en-US" w:eastAsia="zh-CN"/>
              </w:rPr>
              <w:t>新型放射性示踪剂</w:t>
            </w:r>
            <w:r>
              <w:rPr>
                <w:rFonts w:hint="default" w:ascii="仿宋" w:hAnsi="仿宋" w:eastAsia="仿宋" w:cs="仿宋"/>
                <w:color w:val="auto"/>
                <w:sz w:val="24"/>
                <w:lang w:val="en-US" w:eastAsia="zh-CN"/>
              </w:rPr>
              <w:t>的能谱分析，</w:t>
            </w:r>
            <w:r>
              <w:rPr>
                <w:rFonts w:hint="eastAsia" w:ascii="仿宋" w:hAnsi="仿宋" w:eastAsia="仿宋" w:cs="仿宋"/>
                <w:color w:val="auto"/>
                <w:sz w:val="24"/>
              </w:rPr>
              <w:t>并满足法规与生产要求</w:t>
            </w:r>
            <w:r>
              <w:rPr>
                <w:rFonts w:hint="eastAsia" w:ascii="仿宋" w:hAnsi="仿宋" w:eastAsia="仿宋" w:cs="仿宋"/>
                <w:color w:val="auto"/>
                <w:sz w:val="24"/>
                <w:lang w:eastAsia="zh-CN"/>
              </w:rPr>
              <w:t>，</w:t>
            </w:r>
            <w:r>
              <w:rPr>
                <w:rFonts w:hint="default" w:ascii="仿宋" w:hAnsi="仿宋" w:eastAsia="仿宋" w:cs="仿宋"/>
                <w:color w:val="auto"/>
                <w:sz w:val="24"/>
                <w:lang w:val="en-US" w:eastAsia="zh-CN"/>
              </w:rPr>
              <w:t>推动肿瘤诊断与治疗技术发展</w:t>
            </w:r>
            <w:r>
              <w:rPr>
                <w:rFonts w:hint="eastAsia" w:ascii="仿宋" w:hAnsi="仿宋" w:eastAsia="仿宋" w:cs="仿宋"/>
                <w:color w:val="auto"/>
                <w:sz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jc w:val="center"/>
        </w:trPr>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所需设备参数</w:t>
            </w:r>
          </w:p>
        </w:tc>
        <w:tc>
          <w:tcPr>
            <w:tcW w:w="83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top"/>
          </w:tcPr>
          <w:p>
            <w:pPr>
              <w:jc w:val="both"/>
              <w:rPr>
                <w:rFonts w:hint="eastAsia" w:ascii="宋体" w:hAnsi="宋体" w:eastAsia="宋体" w:cs="宋体"/>
                <w:i w:val="0"/>
                <w:iCs w:val="0"/>
                <w:color w:val="000000"/>
                <w:sz w:val="22"/>
                <w:szCs w:val="22"/>
                <w:u w:val="none"/>
              </w:rPr>
            </w:pPr>
          </w:p>
          <w:p>
            <w:pPr>
              <w:jc w:val="both"/>
              <w:rPr>
                <w:rFonts w:hint="eastAsia" w:ascii="宋体" w:hAnsi="宋体" w:cs="宋体"/>
                <w:kern w:val="0"/>
                <w:szCs w:val="21"/>
              </w:rPr>
            </w:pPr>
            <w:r>
              <w:rPr>
                <w:rFonts w:hint="eastAsia" w:ascii="宋体" w:hAnsi="宋体" w:cs="宋体"/>
                <w:kern w:val="0"/>
                <w:szCs w:val="21"/>
              </w:rPr>
              <w:t>1.能量范围：γ射线：30keV～3MeV；</w:t>
            </w:r>
          </w:p>
          <w:p>
            <w:pPr>
              <w:jc w:val="both"/>
              <w:rPr>
                <w:rFonts w:hint="eastAsia" w:ascii="宋体" w:hAnsi="宋体" w:cs="宋体"/>
                <w:kern w:val="0"/>
                <w:szCs w:val="21"/>
              </w:rPr>
            </w:pPr>
            <w:r>
              <w:rPr>
                <w:rFonts w:hint="eastAsia" w:ascii="宋体" w:hAnsi="宋体" w:cs="宋体"/>
                <w:kern w:val="0"/>
                <w:szCs w:val="21"/>
              </w:rPr>
              <w:t>2.剂量率范围：10nGy/h～0.1mGy/h；</w:t>
            </w:r>
          </w:p>
          <w:p>
            <w:pPr>
              <w:jc w:val="both"/>
              <w:rPr>
                <w:rFonts w:hint="eastAsia" w:ascii="宋体" w:hAnsi="宋体" w:cs="宋体"/>
                <w:kern w:val="0"/>
                <w:szCs w:val="21"/>
              </w:rPr>
            </w:pPr>
            <w:r>
              <w:rPr>
                <w:rFonts w:hint="eastAsia" w:ascii="宋体" w:hAnsi="宋体" w:cs="宋体"/>
                <w:kern w:val="0"/>
                <w:szCs w:val="21"/>
              </w:rPr>
              <w:t>3.能量分辨率：&lt;7.5%（662keV）；</w:t>
            </w:r>
          </w:p>
          <w:p>
            <w:pPr>
              <w:jc w:val="both"/>
              <w:rPr>
                <w:rFonts w:hint="eastAsia" w:ascii="宋体" w:hAnsi="宋体" w:cs="宋体"/>
                <w:kern w:val="0"/>
                <w:szCs w:val="21"/>
              </w:rPr>
            </w:pPr>
            <w:r>
              <w:rPr>
                <w:rFonts w:hint="eastAsia" w:ascii="宋体" w:hAnsi="宋体" w:cs="宋体"/>
                <w:kern w:val="0"/>
                <w:szCs w:val="21"/>
              </w:rPr>
              <w:t>4.能量线性：优于±1%；</w:t>
            </w:r>
          </w:p>
          <w:p>
            <w:pPr>
              <w:jc w:val="both"/>
              <w:rPr>
                <w:rFonts w:hint="eastAsia" w:ascii="宋体" w:hAnsi="宋体" w:cs="宋体"/>
                <w:kern w:val="0"/>
                <w:szCs w:val="21"/>
              </w:rPr>
            </w:pPr>
            <w:r>
              <w:rPr>
                <w:rFonts w:hint="eastAsia" w:ascii="宋体" w:hAnsi="宋体" w:cs="宋体"/>
                <w:kern w:val="0"/>
                <w:szCs w:val="21"/>
              </w:rPr>
              <w:t>5.多道：1024道；</w:t>
            </w:r>
          </w:p>
          <w:p>
            <w:pPr>
              <w:jc w:val="both"/>
              <w:rPr>
                <w:rFonts w:hint="eastAsia" w:ascii="宋体" w:hAnsi="宋体" w:cs="宋体"/>
                <w:kern w:val="0"/>
                <w:szCs w:val="21"/>
              </w:rPr>
            </w:pPr>
            <w:r>
              <w:rPr>
                <w:rFonts w:hint="eastAsia" w:ascii="宋体" w:hAnsi="宋体" w:cs="宋体"/>
                <w:kern w:val="0"/>
                <w:szCs w:val="21"/>
              </w:rPr>
              <w:t>6.自动能量刻度和稳峰，不需要额外的放射源；</w:t>
            </w:r>
          </w:p>
          <w:p>
            <w:pPr>
              <w:jc w:val="both"/>
              <w:rPr>
                <w:rFonts w:hint="eastAsia" w:ascii="宋体" w:hAnsi="宋体" w:cs="宋体"/>
                <w:kern w:val="0"/>
                <w:szCs w:val="21"/>
              </w:rPr>
            </w:pPr>
            <w:r>
              <w:rPr>
                <w:rFonts w:hint="eastAsia" w:ascii="宋体" w:hAnsi="宋体" w:cs="宋体"/>
                <w:kern w:val="0"/>
                <w:szCs w:val="21"/>
              </w:rPr>
              <w:t>7.控制、分析、报告与质保程序；</w:t>
            </w:r>
          </w:p>
          <w:p>
            <w:pPr>
              <w:jc w:val="both"/>
              <w:rPr>
                <w:rFonts w:hint="eastAsia" w:ascii="宋体" w:hAnsi="宋体" w:cs="宋体"/>
                <w:kern w:val="0"/>
                <w:szCs w:val="21"/>
              </w:rPr>
            </w:pPr>
            <w:r>
              <w:rPr>
                <w:rFonts w:hint="eastAsia" w:ascii="宋体" w:hAnsi="宋体" w:cs="宋体"/>
                <w:kern w:val="0"/>
                <w:szCs w:val="21"/>
              </w:rPr>
              <w:t>8.具有自动保存文件、查询历史纪录等功能；</w:t>
            </w:r>
          </w:p>
          <w:p>
            <w:pPr>
              <w:jc w:val="both"/>
              <w:rPr>
                <w:rFonts w:hint="eastAsia" w:ascii="宋体" w:hAnsi="宋体" w:cs="宋体"/>
                <w:kern w:val="0"/>
                <w:szCs w:val="21"/>
              </w:rPr>
            </w:pPr>
            <w:r>
              <w:rPr>
                <w:rFonts w:hint="eastAsia" w:ascii="宋体" w:hAnsi="宋体" w:cs="宋体"/>
                <w:kern w:val="0"/>
                <w:szCs w:val="21"/>
              </w:rPr>
              <w:t>9.控制功能：具有可实现的参数设置包括：增益细调、启动数字化稳谱、调节高压、显示实时间/活时间、设置上下甄别阈等；</w:t>
            </w:r>
          </w:p>
          <w:p>
            <w:pPr>
              <w:jc w:val="both"/>
              <w:rPr>
                <w:rFonts w:hint="eastAsia" w:ascii="宋体" w:hAnsi="宋体" w:cs="宋体"/>
                <w:kern w:val="0"/>
                <w:szCs w:val="21"/>
              </w:rPr>
            </w:pPr>
            <w:r>
              <w:rPr>
                <w:rFonts w:hint="eastAsia" w:ascii="宋体" w:hAnsi="宋体" w:cs="宋体"/>
                <w:kern w:val="0"/>
                <w:szCs w:val="21"/>
              </w:rPr>
              <w:t>10.分析功能：具有能量刻度、效率刻度、净峰面积计算、峰拟合、自动寻峰、重峰解析、活度计算、核素识别、扣除本底、核素库查询等功能；</w:t>
            </w:r>
          </w:p>
          <w:p>
            <w:pPr>
              <w:jc w:val="both"/>
              <w:rPr>
                <w:rFonts w:hint="eastAsia" w:ascii="宋体" w:hAnsi="宋体" w:cs="宋体"/>
                <w:kern w:val="0"/>
                <w:szCs w:val="21"/>
              </w:rPr>
            </w:pPr>
            <w:r>
              <w:rPr>
                <w:rFonts w:hint="eastAsia" w:ascii="宋体" w:hAnsi="宋体" w:cs="宋体"/>
                <w:kern w:val="0"/>
                <w:szCs w:val="21"/>
              </w:rPr>
              <w:t>11.具有重峰解析功能；</w:t>
            </w:r>
          </w:p>
          <w:p>
            <w:pPr>
              <w:jc w:val="both"/>
              <w:rPr>
                <w:rFonts w:hint="eastAsia" w:ascii="宋体" w:hAnsi="宋体" w:cs="宋体"/>
                <w:kern w:val="0"/>
                <w:szCs w:val="21"/>
              </w:rPr>
            </w:pPr>
            <w:r>
              <w:rPr>
                <w:rFonts w:hint="eastAsia" w:ascii="宋体" w:hAnsi="宋体" w:cs="宋体"/>
                <w:kern w:val="0"/>
                <w:szCs w:val="21"/>
              </w:rPr>
              <w:t>12.可以为用户进行定制化功能和界面设计。（跟据用户的需要，评估工作量后定价）；</w:t>
            </w:r>
          </w:p>
          <w:p>
            <w:pPr>
              <w:jc w:val="both"/>
              <w:rPr>
                <w:rFonts w:hint="eastAsia" w:ascii="宋体" w:hAnsi="宋体" w:cs="宋体"/>
                <w:kern w:val="0"/>
                <w:szCs w:val="21"/>
              </w:rPr>
            </w:pPr>
            <w:r>
              <w:rPr>
                <w:rFonts w:hint="eastAsia" w:ascii="宋体" w:hAnsi="宋体" w:cs="宋体"/>
                <w:kern w:val="0"/>
                <w:szCs w:val="21"/>
              </w:rPr>
              <w:t>13.该软件需在保留原能量分析软件MCStar界面及功能情况下增加如下功能：</w:t>
            </w:r>
          </w:p>
          <w:p>
            <w:pPr>
              <w:jc w:val="both"/>
              <w:rPr>
                <w:rFonts w:hint="eastAsia" w:ascii="宋体" w:hAnsi="宋体" w:cs="宋体"/>
                <w:kern w:val="0"/>
                <w:szCs w:val="21"/>
              </w:rPr>
            </w:pPr>
            <w:r>
              <w:rPr>
                <w:rFonts w:hint="eastAsia" w:ascii="宋体" w:hAnsi="宋体" w:cs="宋体"/>
                <w:kern w:val="0"/>
                <w:szCs w:val="21"/>
              </w:rPr>
              <w:t>14.增加包含有文件、编辑、测量、账户、日志等内容；</w:t>
            </w:r>
          </w:p>
          <w:p>
            <w:pPr>
              <w:jc w:val="both"/>
              <w:rPr>
                <w:rFonts w:hint="eastAsia" w:ascii="宋体" w:hAnsi="宋体" w:cs="宋体"/>
                <w:kern w:val="0"/>
                <w:szCs w:val="21"/>
              </w:rPr>
            </w:pPr>
            <w:r>
              <w:rPr>
                <w:rFonts w:hint="eastAsia" w:ascii="宋体" w:hAnsi="宋体" w:cs="宋体"/>
                <w:kern w:val="0"/>
                <w:szCs w:val="21"/>
              </w:rPr>
              <w:t xml:space="preserve">15.账户登录：需要登录账户才能被授权操作； </w:t>
            </w:r>
          </w:p>
          <w:p>
            <w:pPr>
              <w:jc w:val="both"/>
              <w:rPr>
                <w:rFonts w:hint="eastAsia" w:ascii="宋体" w:hAnsi="宋体" w:cs="宋体"/>
                <w:kern w:val="0"/>
                <w:szCs w:val="21"/>
              </w:rPr>
            </w:pPr>
            <w:r>
              <w:rPr>
                <w:rFonts w:hint="eastAsia" w:ascii="宋体" w:hAnsi="宋体" w:cs="宋体"/>
                <w:kern w:val="0"/>
                <w:szCs w:val="21"/>
              </w:rPr>
              <w:t>16.账号管理：能设定管理员与操作人员账户与权限管理员可以分配管理普通账号；</w:t>
            </w:r>
          </w:p>
          <w:p>
            <w:pPr>
              <w:jc w:val="both"/>
              <w:rPr>
                <w:rFonts w:hint="eastAsia" w:ascii="宋体" w:hAnsi="宋体" w:cs="宋体"/>
                <w:kern w:val="0"/>
                <w:szCs w:val="21"/>
              </w:rPr>
            </w:pPr>
            <w:r>
              <w:rPr>
                <w:rFonts w:hint="eastAsia" w:ascii="宋体" w:hAnsi="宋体" w:cs="宋体"/>
                <w:kern w:val="0"/>
                <w:szCs w:val="21"/>
              </w:rPr>
              <w:t>17.测量功能：增加开始/停止测量功能，可以设置测量条件和方法；</w:t>
            </w:r>
          </w:p>
          <w:p>
            <w:pPr>
              <w:jc w:val="both"/>
              <w:rPr>
                <w:rFonts w:hint="eastAsia" w:ascii="宋体" w:hAnsi="宋体" w:cs="宋体"/>
                <w:kern w:val="0"/>
                <w:szCs w:val="21"/>
              </w:rPr>
            </w:pPr>
            <w:r>
              <w:rPr>
                <w:rFonts w:hint="eastAsia" w:ascii="宋体" w:hAnsi="宋体" w:cs="宋体"/>
                <w:kern w:val="0"/>
                <w:szCs w:val="21"/>
              </w:rPr>
              <w:t>18.分析报告，报告中应包含检测时间、产品批号/编号，保存路径，打印时间，图谱，分析的图表数据等，报告版式可编辑，具有打印功能；</w:t>
            </w:r>
          </w:p>
          <w:p>
            <w:pPr>
              <w:jc w:val="both"/>
              <w:rPr>
                <w:rFonts w:hint="eastAsia" w:ascii="宋体" w:hAnsi="宋体" w:cs="宋体"/>
                <w:kern w:val="0"/>
                <w:szCs w:val="21"/>
              </w:rPr>
            </w:pPr>
            <w:r>
              <w:rPr>
                <w:rFonts w:hint="eastAsia" w:ascii="宋体" w:hAnsi="宋体" w:cs="宋体"/>
                <w:kern w:val="0"/>
                <w:szCs w:val="21"/>
              </w:rPr>
              <w:t>19.审计追踪：原始图谱文件中应包含操作者及样品信息；能够监测文件的修改、删除。只有经授权人员，方可修改已输入的数据。每次修改已输入的关键数据均应当20.经过批准，并应当记录更改数据的理由；</w:t>
            </w:r>
          </w:p>
          <w:p>
            <w:pPr>
              <w:jc w:val="both"/>
              <w:rPr>
                <w:rFonts w:hint="eastAsia" w:ascii="宋体" w:hAnsi="宋体" w:cs="宋体"/>
                <w:kern w:val="0"/>
                <w:szCs w:val="21"/>
              </w:rPr>
            </w:pPr>
            <w:r>
              <w:rPr>
                <w:rFonts w:hint="eastAsia" w:ascii="宋体" w:hAnsi="宋体" w:cs="宋体"/>
                <w:kern w:val="0"/>
                <w:szCs w:val="21"/>
              </w:rPr>
              <w:t>21.日志记录：记录重要操作内容，日志不可编辑与删除。</w:t>
            </w:r>
          </w:p>
          <w:p>
            <w:pPr>
              <w:jc w:val="both"/>
              <w:rPr>
                <w:rFonts w:hint="eastAsia" w:ascii="宋体" w:hAnsi="宋体" w:cs="宋体"/>
                <w:kern w:val="0"/>
                <w:szCs w:val="21"/>
              </w:rPr>
            </w:pPr>
            <w:r>
              <w:rPr>
                <w:rFonts w:hint="eastAsia" w:ascii="宋体" w:hAnsi="宋体" w:cs="宋体"/>
                <w:kern w:val="0"/>
                <w:szCs w:val="21"/>
              </w:rPr>
              <w:t>22.采用功能强大的CAD软件建模，实现对任意形状的体源的三维可视化快速建模；</w:t>
            </w:r>
          </w:p>
          <w:p>
            <w:pPr>
              <w:jc w:val="both"/>
              <w:rPr>
                <w:rFonts w:hint="eastAsia" w:ascii="宋体" w:hAnsi="宋体" w:cs="宋体"/>
                <w:kern w:val="0"/>
                <w:szCs w:val="21"/>
              </w:rPr>
            </w:pPr>
            <w:r>
              <w:rPr>
                <w:rFonts w:hint="eastAsia" w:ascii="宋体" w:hAnsi="宋体" w:cs="宋体"/>
                <w:kern w:val="0"/>
                <w:szCs w:val="21"/>
              </w:rPr>
              <w:t>23.放射源到探测器的距离可以为0到无穷远；</w:t>
            </w:r>
          </w:p>
          <w:p>
            <w:pPr>
              <w:jc w:val="both"/>
              <w:rPr>
                <w:rFonts w:hint="eastAsia" w:ascii="宋体" w:hAnsi="宋体" w:cs="宋体"/>
                <w:kern w:val="0"/>
                <w:szCs w:val="21"/>
              </w:rPr>
            </w:pPr>
            <w:r>
              <w:rPr>
                <w:rFonts w:hint="eastAsia" w:ascii="宋体" w:hAnsi="宋体" w:cs="宋体"/>
                <w:kern w:val="0"/>
                <w:szCs w:val="21"/>
              </w:rPr>
              <w:t>24. 刻度的能量范围45keV到7MeV；</w:t>
            </w:r>
          </w:p>
          <w:p>
            <w:pPr>
              <w:jc w:val="both"/>
              <w:rPr>
                <w:rFonts w:hint="eastAsia" w:ascii="宋体" w:hAnsi="宋体" w:cs="宋体"/>
                <w:kern w:val="0"/>
                <w:szCs w:val="21"/>
              </w:rPr>
            </w:pPr>
            <w:r>
              <w:rPr>
                <w:rFonts w:hint="eastAsia" w:ascii="宋体" w:hAnsi="宋体" w:cs="宋体"/>
                <w:kern w:val="0"/>
                <w:szCs w:val="21"/>
              </w:rPr>
              <w:t>25.提供体源验证报告；</w:t>
            </w:r>
          </w:p>
          <w:p>
            <w:pPr>
              <w:jc w:val="both"/>
              <w:rPr>
                <w:rFonts w:hint="eastAsia" w:ascii="宋体" w:hAnsi="宋体" w:cs="宋体"/>
                <w:kern w:val="0"/>
                <w:szCs w:val="21"/>
              </w:rPr>
            </w:pPr>
            <w:r>
              <w:rPr>
                <w:rFonts w:hint="eastAsia" w:ascii="宋体" w:hAnsi="宋体" w:cs="宋体"/>
                <w:kern w:val="0"/>
                <w:szCs w:val="21"/>
              </w:rPr>
              <w:t>26.在45keV到3000 keV一般不大于20%；</w:t>
            </w:r>
          </w:p>
          <w:p>
            <w:pPr>
              <w:jc w:val="both"/>
              <w:rPr>
                <w:rFonts w:hint="eastAsia" w:ascii="宋体" w:hAnsi="宋体" w:eastAsia="宋体" w:cs="宋体"/>
                <w:i w:val="0"/>
                <w:iCs w:val="0"/>
                <w:color w:val="000000"/>
                <w:sz w:val="22"/>
                <w:szCs w:val="22"/>
                <w:u w:val="none"/>
              </w:rPr>
            </w:pPr>
            <w:r>
              <w:rPr>
                <w:rFonts w:hint="eastAsia" w:ascii="宋体" w:hAnsi="宋体" w:cs="宋体"/>
                <w:kern w:val="0"/>
                <w:szCs w:val="21"/>
              </w:rPr>
              <w:t>27. 效率刻度曲线计算时间：对于形状对称的体源（如环境样品源），计算时间小于20秒。对于形状非对称的体源，计算时间一般少于10分钟；</w:t>
            </w:r>
          </w:p>
          <w:p>
            <w:pPr>
              <w:jc w:val="both"/>
              <w:rPr>
                <w:rFonts w:hint="eastAsia" w:ascii="宋体" w:hAnsi="宋体" w:eastAsia="宋体" w:cs="宋体"/>
                <w:i w:val="0"/>
                <w:iCs w:val="0"/>
                <w:color w:val="000000"/>
                <w:sz w:val="22"/>
                <w:szCs w:val="22"/>
                <w:u w:val="none"/>
              </w:rPr>
            </w:pP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4MWU5ZDEzMjBmYzdmYmJhZjY3NjM0MDc3ZjAwY2IifQ=="/>
  </w:docVars>
  <w:rsids>
    <w:rsidRoot w:val="00000000"/>
    <w:rsid w:val="0CE2047E"/>
    <w:rsid w:val="184A1ED5"/>
    <w:rsid w:val="1A5328A6"/>
    <w:rsid w:val="1AB351CC"/>
    <w:rsid w:val="2663069E"/>
    <w:rsid w:val="278161EA"/>
    <w:rsid w:val="2BA67077"/>
    <w:rsid w:val="45B56960"/>
    <w:rsid w:val="49923036"/>
    <w:rsid w:val="51804B4B"/>
    <w:rsid w:val="5C2869E8"/>
    <w:rsid w:val="677E0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pPr>
  </w:style>
  <w:style w:type="paragraph" w:styleId="3">
    <w:name w:val="Body Text First Indent 2"/>
    <w:basedOn w:val="4"/>
    <w:qFormat/>
    <w:uiPriority w:val="0"/>
    <w:pPr>
      <w:ind w:firstLine="420" w:firstLineChars="200"/>
    </w:pPr>
    <w:rPr>
      <w:rFonts w:ascii="宋体"/>
      <w:kern w:val="0"/>
      <w:sz w:val="20"/>
    </w:rPr>
  </w:style>
  <w:style w:type="paragraph" w:styleId="4">
    <w:name w:val="Body Text Indent"/>
    <w:basedOn w:val="1"/>
    <w:qFormat/>
    <w:uiPriority w:val="0"/>
    <w:pPr>
      <w:spacing w:line="360" w:lineRule="auto"/>
      <w:ind w:firstLine="540" w:firstLineChars="257"/>
    </w:p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1463</Words>
  <Characters>1676</Characters>
  <Lines>0</Lines>
  <Paragraphs>0</Paragraphs>
  <TotalTime>22</TotalTime>
  <ScaleCrop>false</ScaleCrop>
  <LinksUpToDate>false</LinksUpToDate>
  <CharactersWithSpaces>1702</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2024-06-18T00:00:00Z</dcterms:created>
  <dc:creator>admin</dc:creator>
  <cp:lastModifiedBy>菜绿色的菜青虫</cp:lastModifiedBy>
  <dcterms:modified xsi:type="dcterms:W3CDTF">2025-03-24T08:23:38Z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DA16FC550FC3428B96ADDFD537B5375C_13</vt:lpwstr>
  </property>
  <property fmtid="{D5CDD505-2E9C-101B-9397-08002B2CF9AE}" pid="4" name="KSOTemplateDocerSaveRecord">
    <vt:lpwstr>eyJoZGlkIjoiOWMyYmM4ZTdiMmQ4YmM0MWQ1YjgzM2Y5MjM0YmRjYmIiLCJ1c2VySWQiOiIyOTYyMzY0NjkifQ==</vt:lpwstr>
  </property>
</Properties>
</file>