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5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4035"/>
        <w:gridCol w:w="2400"/>
        <w:gridCol w:w="19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44"/>
                <w:szCs w:val="44"/>
                <w:lang w:bidi="ar"/>
              </w:rPr>
              <w:t>设备参数用途及需求功能表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填报时间：</w:t>
            </w:r>
          </w:p>
        </w:tc>
        <w:tc>
          <w:tcPr>
            <w:tcW w:w="8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color w:val="000000"/>
                <w:sz w:val="44"/>
                <w:szCs w:val="4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科室名称：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设备名称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气相色谱</w:t>
            </w:r>
            <w:r>
              <w:rPr>
                <w:rFonts w:hint="eastAsia" w:ascii="仿宋" w:hAnsi="仿宋" w:eastAsia="仿宋" w:cs="仿宋"/>
                <w:sz w:val="24"/>
              </w:rPr>
              <w:t>仪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所需设备用途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按NMPA管理要求，配置有PET/CT的医院，如在院内制备正电子药物，需进行严格的质量控制，包括物理性质鉴定，化学纯度/放射化学纯度鉴定，无菌无热原等生物学质量控制。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我院核医学科制备的放射性药物，除需进行以上检测外，还需要进行有机残留溶剂的分析测试，符合标准后才能进入临床使用。进行有机残留溶剂的检测使用的是气相色谱法，因此需要购买气相色谱仪。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所需医疗设备主要功能需求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使用气相色谱法测定样品中残留有机溶剂的含量；</w:t>
            </w:r>
          </w:p>
          <w:p>
            <w:pPr>
              <w:snapToGrid w:val="0"/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所需设备参数</w:t>
            </w:r>
          </w:p>
        </w:tc>
        <w:tc>
          <w:tcPr>
            <w:tcW w:w="8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tabs>
                <w:tab w:val="left" w:pos="980"/>
              </w:tabs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 主要用途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1.1、放射性药品的有机残留溶剂的检测分析。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2、色谱性能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2.1、保留时间重现性≤0.008% 或≤0.0008 min。</w:t>
            </w:r>
            <w:bookmarkStart w:id="0" w:name="_GoBack"/>
            <w:bookmarkEnd w:id="0"/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2.2、峰面积重现性≤1%RSD 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2.3、压力控制精度≤ 0.001 psi。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3、柱温箱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3.1、操作温度：室温以上4℃ -450℃或更宽。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3.2、温度设定值精度：≤1℃。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3.3、最大升温速度可达：120˚C/min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3.4、柱箱冷却降温（22℃室温），从450℃到50℃小于4min。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3.5、环境温度敏感度：环境温度变化1℃ ,柱箱温度变化≤0.01 ℃。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4、电子气路控制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4.1、自动进行温度补偿。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4.2、压力/流量程序控制至少3阶。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5、进样口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5.1、分流/不分流进样口(S/SL) 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5.2、压力可设定:0-150psi或更宽。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5.3、压力精度≤0.001psi。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5.4、流量范围：0–1250ml/min或更宽。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5.5、最高使用温度可达：400℃。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6、火焰离子化检测器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6.1、最低检测限：&lt;1.5pg C/s；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6.2、可用于毛细管柱和填充柱；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6.3、最高温度450°C；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6.4、线性动态范围：&gt;10</w:t>
            </w:r>
            <w:r>
              <w:rPr>
                <w:rFonts w:hint="eastAsia" w:ascii="宋体" w:hAnsi="宋体"/>
                <w:bCs/>
                <w:sz w:val="24"/>
                <w:vertAlign w:val="superscript"/>
              </w:rPr>
              <w:t>7</w:t>
            </w:r>
            <w:r>
              <w:rPr>
                <w:rFonts w:hint="eastAsia" w:ascii="宋体" w:hAnsi="宋体"/>
                <w:bCs/>
                <w:sz w:val="24"/>
              </w:rPr>
              <w:t>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6.5、数据采集速率可达500Hz；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6.6、具有灭火自动检测和自动重新点火功能。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7、自动进样器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7.1、进样瓶位数: ≥16位。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7.2、进样体积满足0.1 ul-50.0ul范围。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7.3、自动进样针可以自行调节进样深度。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7.4、可实行快速进样，进样速度≥0.1 sec。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7.5、更换自动进样器无需重新安装。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8、顶空自动进样器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8.1、顶空进样器，配置至少12位以上样品位，带1个以上加热位；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8.2、峰面积重现性：&lt;1% RSD；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8.3、可重叠进样；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8.4、带温度传感器的制冷平板；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8.5、全电子气路控制顶空进样系统；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8.6、在每次分析过程中自动进行样品净化处理；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8.7、恒温箱温度加热：室温以上5~300℃。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9、化学工作站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9.1、仪器故障和维护情况可由内置电子跟踪系统自动记录。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9.2、早期维护反馈功能，能持续跟踪进样系统、垫圈、衬管、和色谱柱等信息，并将这些信息用图形化直观地显示。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9.3、具有远程诊断功能、错误检查和显示功能。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9.4、软件图象化，灵活简单，操作易学。</w:t>
            </w:r>
          </w:p>
          <w:p>
            <w:pPr>
              <w:pStyle w:val="13"/>
              <w:rPr>
                <w:rFonts w:hint="eastAsia" w:hAnsi="宋体"/>
                <w:bCs/>
                <w:kern w:val="2"/>
              </w:rPr>
            </w:pPr>
            <w:r>
              <w:rPr>
                <w:rFonts w:hint="eastAsia" w:hAnsi="宋体"/>
                <w:bCs/>
                <w:kern w:val="2"/>
              </w:rPr>
              <w:t>9.5、具有审计跟踪功能，符合GLP/ GMP的要求。</w:t>
            </w:r>
          </w:p>
          <w:p>
            <w:pPr>
              <w:tabs>
                <w:tab w:val="left" w:pos="980"/>
              </w:tabs>
              <w:ind w:left="386" w:leftChars="-4" w:hanging="394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hAnsi="宋体"/>
                <w:bCs/>
              </w:rPr>
              <w:t>10、</w:t>
            </w:r>
            <w:r>
              <w:rPr>
                <w:rFonts w:hint="eastAsia" w:ascii="宋体" w:hAnsi="宋体"/>
                <w:bCs/>
                <w:sz w:val="24"/>
              </w:rPr>
              <w:t>电子捕获检测器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10.1、电子压力/流量控制，压力控制精度：≤0.001psi。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10.2、最高温度可达400°C。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10.3、最低检测限：≤4.4fg/mL 林丹。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10.4、 线性动态范围：≥5×10</w:t>
            </w:r>
            <w:r>
              <w:rPr>
                <w:rFonts w:hint="eastAsia" w:ascii="宋体" w:hAnsi="宋体"/>
                <w:bCs/>
                <w:sz w:val="24"/>
                <w:vertAlign w:val="superscript"/>
              </w:rPr>
              <w:t>4</w:t>
            </w:r>
            <w:r>
              <w:rPr>
                <w:rFonts w:hint="eastAsia" w:ascii="宋体" w:hAnsi="宋体"/>
                <w:bCs/>
                <w:sz w:val="24"/>
              </w:rPr>
              <w:t>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10.5、数据采集速率：≥50Hz。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  <w:lang w:val="sv-SE"/>
              </w:rPr>
            </w:pPr>
            <w:r>
              <w:rPr>
                <w:rFonts w:hint="eastAsia" w:ascii="宋体" w:hAnsi="宋体"/>
                <w:bCs/>
                <w:sz w:val="24"/>
                <w:lang w:val="sv-SE"/>
              </w:rPr>
              <w:t>10.6</w:t>
            </w:r>
            <w:r>
              <w:rPr>
                <w:rFonts w:hint="eastAsia" w:ascii="宋体" w:hAnsi="宋体"/>
                <w:bCs/>
                <w:sz w:val="24"/>
              </w:rPr>
              <w:t>、流量精度</w:t>
            </w:r>
            <w:r>
              <w:rPr>
                <w:rFonts w:hint="eastAsia" w:ascii="宋体" w:hAnsi="宋体"/>
                <w:bCs/>
                <w:sz w:val="24"/>
                <w:lang w:val="sv-SE"/>
              </w:rPr>
              <w:t xml:space="preserve">：≤ ± 3ml/min </w:t>
            </w:r>
            <w:r>
              <w:rPr>
                <w:rFonts w:hint="eastAsia" w:ascii="宋体" w:hAnsi="宋体"/>
                <w:bCs/>
                <w:sz w:val="24"/>
              </w:rPr>
              <w:t>。</w:t>
            </w:r>
          </w:p>
          <w:p>
            <w:pPr>
              <w:tabs>
                <w:tab w:val="left" w:pos="980"/>
              </w:tabs>
              <w:ind w:left="443" w:leftChars="-4" w:hanging="451" w:hangingChars="188"/>
              <w:rPr>
                <w:rFonts w:hint="eastAsia" w:ascii="宋体" w:hAnsi="宋体"/>
                <w:bCs/>
                <w:sz w:val="24"/>
                <w:lang w:val="sv-SE"/>
              </w:rPr>
            </w:pPr>
            <w:r>
              <w:rPr>
                <w:rFonts w:hint="eastAsia" w:ascii="宋体" w:hAnsi="宋体"/>
                <w:bCs/>
                <w:sz w:val="24"/>
                <w:lang w:val="sv-SE"/>
              </w:rPr>
              <w:t>10.7</w:t>
            </w:r>
            <w:r>
              <w:rPr>
                <w:rFonts w:hint="eastAsia" w:ascii="宋体" w:hAnsi="宋体"/>
                <w:bCs/>
                <w:sz w:val="24"/>
              </w:rPr>
              <w:t>、流量重复性</w:t>
            </w:r>
            <w:r>
              <w:rPr>
                <w:rFonts w:hint="eastAsia" w:ascii="宋体" w:hAnsi="宋体"/>
                <w:bCs/>
                <w:sz w:val="24"/>
                <w:lang w:val="sv-SE"/>
              </w:rPr>
              <w:t>：≤±0.35%</w:t>
            </w:r>
            <w:r>
              <w:rPr>
                <w:rFonts w:hint="eastAsia" w:ascii="宋体" w:hAnsi="宋体"/>
                <w:bCs/>
                <w:sz w:val="24"/>
              </w:rPr>
              <w:t>。</w:t>
            </w:r>
          </w:p>
          <w:p>
            <w:pPr>
              <w:snapToGrid w:val="0"/>
              <w:spacing w:line="360" w:lineRule="auto"/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配置需求：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1、专用的商务工作站(笔记本电脑)和输出装置各1套（打印机）。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2、柱温箱1套。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3、液体自动进样器1套及手动进样器一套。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4、顶空进样器1套。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5、氢火焰离子化检测器1套。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6、工作站软件1套。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7、色谱柱：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30m，0.32mm，0.25um 毛细管色谱柱，1个，(中/低等极性,生物碱、药物、脂肪酸甲酯类、含卤素化合物、芳香族化合物)；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30m，0.32mm，0.25um 毛细管色谱柱，1个，(非极性, 生物碱、脂肪酸甲酯、卤代化合物、芳香化合物、药品、石油化工产品、有机氯农药)；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30m，0.32mm*1.8um 毛细管色谱柱，1个，(为分析挥发物性物质)； 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30m，0.32mm*0.25um毛细管色谱柱，1个，（强极性，醇类、芳香族类、醇类、醛和酸、游离有机酸）；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8、样品瓶：10ml～20ml顶空样品瓶，100个；Target DP 样品瓶，100个。  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9、现场3Q验证包1套。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10、电子捕获检测器1套。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MWU5ZDEzMjBmYzdmYmJhZjY3NjM0MDc3ZjAwY2IifQ=="/>
  </w:docVars>
  <w:rsids>
    <w:rsidRoot w:val="001E0424"/>
    <w:rsid w:val="001E0424"/>
    <w:rsid w:val="002F5BCB"/>
    <w:rsid w:val="005E6AB4"/>
    <w:rsid w:val="005F6235"/>
    <w:rsid w:val="00620893"/>
    <w:rsid w:val="006311A0"/>
    <w:rsid w:val="0067363F"/>
    <w:rsid w:val="006A31E2"/>
    <w:rsid w:val="00885934"/>
    <w:rsid w:val="008C18AE"/>
    <w:rsid w:val="00963A0A"/>
    <w:rsid w:val="00B95313"/>
    <w:rsid w:val="00C13FAD"/>
    <w:rsid w:val="00D50BE5"/>
    <w:rsid w:val="00D61E56"/>
    <w:rsid w:val="00D75F24"/>
    <w:rsid w:val="00DE34DE"/>
    <w:rsid w:val="00ED53C8"/>
    <w:rsid w:val="00F76163"/>
    <w:rsid w:val="04863A07"/>
    <w:rsid w:val="051261E1"/>
    <w:rsid w:val="14664F4F"/>
    <w:rsid w:val="184A1ED5"/>
    <w:rsid w:val="1AB351CC"/>
    <w:rsid w:val="278161EA"/>
    <w:rsid w:val="27E84F59"/>
    <w:rsid w:val="3F59444C"/>
    <w:rsid w:val="46CF2AEB"/>
    <w:rsid w:val="49923036"/>
    <w:rsid w:val="51804B4B"/>
    <w:rsid w:val="5AC333B1"/>
    <w:rsid w:val="5C2869E8"/>
    <w:rsid w:val="60457581"/>
    <w:rsid w:val="640C6632"/>
    <w:rsid w:val="677E055B"/>
    <w:rsid w:val="6D3E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</w:style>
  <w:style w:type="paragraph" w:styleId="4">
    <w:name w:val="Body Text First Indent 2"/>
    <w:basedOn w:val="5"/>
    <w:qFormat/>
    <w:uiPriority w:val="0"/>
    <w:pPr>
      <w:ind w:firstLine="420" w:firstLineChars="200"/>
    </w:pPr>
    <w:rPr>
      <w:rFonts w:ascii="宋体"/>
      <w:kern w:val="0"/>
      <w:sz w:val="20"/>
    </w:rPr>
  </w:style>
  <w:style w:type="paragraph" w:styleId="5">
    <w:name w:val="Body Text Indent"/>
    <w:basedOn w:val="1"/>
    <w:qFormat/>
    <w:uiPriority w:val="0"/>
    <w:pPr>
      <w:spacing w:line="360" w:lineRule="auto"/>
      <w:ind w:firstLine="540" w:firstLineChars="257"/>
    </w:p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278</Words>
  <Characters>1590</Characters>
  <Lines>13</Lines>
  <Paragraphs>3</Paragraphs>
  <TotalTime>18</TotalTime>
  <ScaleCrop>false</ScaleCrop>
  <LinksUpToDate>false</LinksUpToDate>
  <CharactersWithSpaces>1865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2024-06-18T00:00:00Z</dcterms:created>
  <dc:creator>admin</dc:creator>
  <cp:lastModifiedBy>菜绿色的菜青虫</cp:lastModifiedBy>
  <dcterms:modified xsi:type="dcterms:W3CDTF">2025-03-27T00:41:57Z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786671405B2E409FA6F8160A63EFB0E9_13</vt:lpwstr>
  </property>
  <property fmtid="{D5CDD505-2E9C-101B-9397-08002B2CF9AE}" pid="4" name="KSOTemplateDocerSaveRecord">
    <vt:lpwstr>eyJoZGlkIjoiOWMyYmM4ZTdiMmQ4YmM0MWQ1YjgzM2Y5MjM0YmRjYmIiLCJ1c2VySWQiOiIyOTYyMzY0NjkifQ==</vt:lpwstr>
  </property>
</Properties>
</file>