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2BDB5F">
      <w:pPr>
        <w:pStyle w:val="4"/>
        <w:keepNext w:val="0"/>
        <w:keepLines w:val="0"/>
        <w:widowControl/>
        <w:suppressLineNumbers w:val="0"/>
        <w:shd w:val="clear" w:color="auto" w:fill="FFFFFF"/>
        <w:wordWrap w:val="0"/>
        <w:spacing w:before="0" w:beforeAutospacing="0" w:after="0" w:afterAutospacing="0" w:line="360" w:lineRule="auto"/>
        <w:ind w:left="0" w:right="0" w:firstLine="0"/>
        <w:jc w:val="center"/>
        <w:rPr>
          <w:rFonts w:hint="eastAsia" w:ascii="楷体" w:hAnsi="楷体" w:eastAsia="楷体" w:cs="楷体"/>
          <w:b/>
          <w:bCs/>
          <w:sz w:val="36"/>
          <w:szCs w:val="36"/>
          <w:lang w:val="en-US" w:eastAsia="zh-CN"/>
        </w:rPr>
      </w:pPr>
      <w:r>
        <w:rPr>
          <w:rFonts w:hint="eastAsia" w:ascii="楷体" w:hAnsi="楷体" w:eastAsia="楷体" w:cs="楷体"/>
          <w:b/>
          <w:bCs/>
          <w:sz w:val="36"/>
          <w:szCs w:val="36"/>
          <w:lang w:val="en-US" w:eastAsia="zh-CN"/>
        </w:rPr>
        <w:t>国考基地建设标准化病人培训考核系统</w:t>
      </w:r>
    </w:p>
    <w:p w14:paraId="20722F99">
      <w:pPr>
        <w:pStyle w:val="4"/>
        <w:keepNext w:val="0"/>
        <w:keepLines w:val="0"/>
        <w:widowControl/>
        <w:suppressLineNumbers w:val="0"/>
        <w:shd w:val="clear" w:color="auto" w:fill="FFFFFF"/>
        <w:wordWrap w:val="0"/>
        <w:spacing w:before="0" w:beforeAutospacing="0" w:after="0" w:afterAutospacing="0" w:line="360" w:lineRule="auto"/>
        <w:ind w:left="0" w:right="0" w:firstLine="0"/>
        <w:jc w:val="center"/>
        <w:rPr>
          <w:rFonts w:hint="eastAsia" w:ascii="楷体" w:hAnsi="楷体" w:eastAsia="楷体" w:cs="楷体"/>
          <w:b/>
          <w:bCs/>
          <w:sz w:val="36"/>
          <w:szCs w:val="36"/>
          <w:lang w:val="en-US" w:eastAsia="zh-CN"/>
        </w:rPr>
      </w:pPr>
      <w:r>
        <w:rPr>
          <w:rFonts w:hint="eastAsia" w:ascii="楷体" w:hAnsi="楷体" w:eastAsia="楷体" w:cs="楷体"/>
          <w:b/>
          <w:bCs/>
          <w:sz w:val="36"/>
          <w:szCs w:val="36"/>
          <w:lang w:val="en-US" w:eastAsia="zh-CN"/>
        </w:rPr>
        <w:t>主要功能及需求</w:t>
      </w:r>
    </w:p>
    <w:p w14:paraId="3722E6D9">
      <w:pPr>
        <w:spacing w:before="17" w:after="0" w:line="359" w:lineRule="auto"/>
        <w:jc w:val="both"/>
        <w:rPr>
          <w:rFonts w:hint="eastAsia" w:ascii="宋体" w:hAnsi="宋体" w:eastAsia="宋体"/>
          <w:color w:val="000000"/>
          <w:sz w:val="28"/>
          <w:szCs w:val="28"/>
        </w:rPr>
      </w:pPr>
    </w:p>
    <w:p w14:paraId="733E10E4">
      <w:pPr>
        <w:spacing w:before="17" w:after="0" w:line="359" w:lineRule="auto"/>
        <w:jc w:val="both"/>
        <w:rPr>
          <w:rFonts w:hint="eastAsia" w:ascii="楷体" w:hAnsi="楷体" w:eastAsia="楷体" w:cs="楷体"/>
          <w:color w:val="000000"/>
          <w:sz w:val="28"/>
          <w:szCs w:val="28"/>
          <w:lang w:val="en-US" w:eastAsia="zh-CN"/>
        </w:rPr>
      </w:pPr>
      <w:r>
        <w:rPr>
          <w:rFonts w:hint="eastAsia" w:ascii="楷体" w:hAnsi="楷体" w:eastAsia="楷体" w:cs="楷体"/>
          <w:color w:val="000000"/>
          <w:sz w:val="28"/>
          <w:szCs w:val="28"/>
          <w:lang w:val="en-US" w:eastAsia="zh-CN"/>
        </w:rPr>
        <w:t>一、主要功能及需求</w:t>
      </w:r>
    </w:p>
    <w:p w14:paraId="176255C7">
      <w:pPr>
        <w:spacing w:before="17" w:after="0" w:line="359" w:lineRule="auto"/>
        <w:jc w:val="both"/>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1.</w:t>
      </w:r>
      <w:r>
        <w:rPr>
          <w:rFonts w:hint="eastAsia" w:ascii="楷体" w:hAnsi="楷体" w:eastAsia="楷体" w:cs="楷体"/>
          <w:color w:val="000000"/>
          <w:sz w:val="28"/>
          <w:szCs w:val="28"/>
        </w:rPr>
        <w:t>产品包含线上课程平台和智能问诊设备两个版块；</w:t>
      </w:r>
    </w:p>
    <w:p w14:paraId="35510A2D">
      <w:pPr>
        <w:spacing w:before="17" w:after="0" w:line="359" w:lineRule="auto"/>
        <w:jc w:val="both"/>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2.</w:t>
      </w:r>
      <w:r>
        <w:rPr>
          <w:rFonts w:hint="eastAsia" w:ascii="楷体" w:hAnsi="楷体" w:eastAsia="楷体" w:cs="楷体"/>
          <w:color w:val="000000"/>
          <w:sz w:val="28"/>
          <w:szCs w:val="28"/>
        </w:rPr>
        <w:t>提供国内双一流及以上大学附属教学医院精品教学资源，包含丰富的理论学习课程、师资培训视频课程及线下工作坊；（理论学习课程、师资培训视频课程需提供演示视频）</w:t>
      </w:r>
    </w:p>
    <w:p w14:paraId="241CDDE1">
      <w:pPr>
        <w:spacing w:before="17" w:after="0" w:line="359" w:lineRule="auto"/>
        <w:jc w:val="both"/>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3.</w:t>
      </w:r>
      <w:r>
        <w:rPr>
          <w:rFonts w:hint="eastAsia" w:ascii="楷体" w:hAnsi="楷体" w:eastAsia="楷体" w:cs="楷体"/>
          <w:color w:val="000000"/>
          <w:sz w:val="28"/>
          <w:szCs w:val="28"/>
        </w:rPr>
        <w:t>产品支持示教、训练、</w:t>
      </w:r>
      <w:bookmarkStart w:id="0" w:name="_GoBack"/>
      <w:bookmarkEnd w:id="0"/>
      <w:r>
        <w:rPr>
          <w:rFonts w:hint="eastAsia" w:ascii="楷体" w:hAnsi="楷体" w:eastAsia="楷体" w:cs="楷体"/>
          <w:color w:val="000000"/>
          <w:sz w:val="28"/>
          <w:szCs w:val="28"/>
        </w:rPr>
        <w:t>考核三种操作模式，操作者可进行一键切换；</w:t>
      </w:r>
    </w:p>
    <w:p w14:paraId="67AFD5E2">
      <w:pPr>
        <w:spacing w:before="17" w:after="0" w:line="359" w:lineRule="auto"/>
        <w:jc w:val="both"/>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4.</w:t>
      </w:r>
      <w:r>
        <w:rPr>
          <w:rFonts w:hint="eastAsia" w:ascii="楷体" w:hAnsi="楷体" w:eastAsia="楷体" w:cs="楷体"/>
          <w:color w:val="000000"/>
          <w:sz w:val="28"/>
          <w:szCs w:val="28"/>
        </w:rPr>
        <w:t>线上课程平台与线下设备数据互通，可实时查看训练数据。</w:t>
      </w:r>
    </w:p>
    <w:p w14:paraId="067ED76B">
      <w:pPr>
        <w:spacing w:before="17" w:after="0" w:line="359" w:lineRule="auto"/>
        <w:jc w:val="both"/>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5.</w:t>
      </w:r>
      <w:r>
        <w:rPr>
          <w:rFonts w:hint="eastAsia" w:ascii="楷体" w:hAnsi="楷体" w:eastAsia="楷体" w:cs="楷体"/>
          <w:color w:val="000000"/>
          <w:sz w:val="28"/>
          <w:szCs w:val="28"/>
        </w:rPr>
        <w:t>支持无线大屏幕投影方式，可便于教师课堂示教；同时配有教师专用接口，方便教师将私有教学资源导入系统进行示教；</w:t>
      </w:r>
    </w:p>
    <w:p w14:paraId="6019024C">
      <w:pPr>
        <w:spacing w:before="17" w:after="0" w:line="359" w:lineRule="auto"/>
        <w:jc w:val="both"/>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6.</w:t>
      </w:r>
      <w:r>
        <w:rPr>
          <w:rFonts w:hint="eastAsia" w:ascii="楷体" w:hAnsi="楷体" w:eastAsia="楷体" w:cs="楷体"/>
          <w:color w:val="000000"/>
          <w:sz w:val="28"/>
          <w:szCs w:val="28"/>
        </w:rPr>
        <w:t>支持通过账号密码、微信扫码、短信验证码等登录方式，可通过微信查看评估报告；支持与院校统一登录认证系统对接；</w:t>
      </w:r>
    </w:p>
    <w:p w14:paraId="47A9C756">
      <w:pPr>
        <w:spacing w:before="17" w:after="0" w:line="359" w:lineRule="auto"/>
        <w:jc w:val="both"/>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7.</w:t>
      </w:r>
      <w:r>
        <w:rPr>
          <w:rFonts w:hint="eastAsia" w:ascii="楷体" w:hAnsi="楷体" w:eastAsia="楷体" w:cs="楷体"/>
          <w:color w:val="000000"/>
          <w:sz w:val="28"/>
          <w:szCs w:val="28"/>
        </w:rPr>
        <w:t>系统自带4G网络，训练数据随时随地上传服务器，方便查看；</w:t>
      </w:r>
    </w:p>
    <w:p w14:paraId="738DAFDA">
      <w:pPr>
        <w:spacing w:before="17" w:after="0" w:line="359" w:lineRule="auto"/>
        <w:jc w:val="both"/>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8.</w:t>
      </w:r>
      <w:r>
        <w:rPr>
          <w:rFonts w:hint="eastAsia" w:ascii="楷体" w:hAnsi="楷体" w:eastAsia="楷体" w:cs="楷体"/>
          <w:color w:val="000000"/>
          <w:sz w:val="28"/>
          <w:szCs w:val="28"/>
        </w:rPr>
        <w:t>系统采用3D仿真引擎，人工智能虚拟患者及问诊场景符合真实临床教学需要，具有真实的问诊体验；</w:t>
      </w:r>
    </w:p>
    <w:p w14:paraId="44E81B06">
      <w:pPr>
        <w:spacing w:before="17" w:after="0" w:line="359" w:lineRule="auto"/>
        <w:jc w:val="both"/>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9.</w:t>
      </w:r>
      <w:r>
        <w:rPr>
          <w:rFonts w:hint="eastAsia" w:ascii="楷体" w:hAnsi="楷体" w:eastAsia="楷体" w:cs="楷体"/>
          <w:color w:val="000000"/>
          <w:sz w:val="28"/>
          <w:szCs w:val="28"/>
        </w:rPr>
        <w:t>系统支持接入多种大预言模型，利用人工智能和机器学习技术，能够在训练过程中自动提供提示、纠正错误并进行评估；</w:t>
      </w:r>
    </w:p>
    <w:p w14:paraId="398D5B20">
      <w:pPr>
        <w:spacing w:before="17" w:after="0" w:line="359" w:lineRule="auto"/>
        <w:jc w:val="both"/>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10.</w:t>
      </w:r>
      <w:r>
        <w:rPr>
          <w:rFonts w:hint="eastAsia" w:ascii="楷体" w:hAnsi="楷体" w:eastAsia="楷体" w:cs="楷体"/>
          <w:color w:val="000000"/>
          <w:sz w:val="28"/>
          <w:szCs w:val="28"/>
        </w:rPr>
        <w:t>内置标准、规范、权威的虚拟导师评价系统，融合双一流及以上大学附属教学医院教学精髓可对学员进行全面问诊评估，并对数据进行统计分析；</w:t>
      </w:r>
    </w:p>
    <w:p w14:paraId="1F6BBBE7">
      <w:pPr>
        <w:spacing w:before="17" w:after="0" w:line="359" w:lineRule="auto"/>
        <w:jc w:val="both"/>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11.</w:t>
      </w:r>
      <w:r>
        <w:rPr>
          <w:rFonts w:hint="eastAsia" w:ascii="楷体" w:hAnsi="楷体" w:eastAsia="楷体" w:cs="楷体"/>
          <w:color w:val="000000"/>
          <w:sz w:val="28"/>
          <w:szCs w:val="28"/>
        </w:rPr>
        <w:t>产品具备录屏功能，方便教师和学生训练结束后进行回顾和总结；</w:t>
      </w:r>
    </w:p>
    <w:p w14:paraId="39AF0585">
      <w:pPr>
        <w:spacing w:before="17" w:after="0" w:line="359" w:lineRule="auto"/>
        <w:jc w:val="both"/>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12.</w:t>
      </w:r>
      <w:r>
        <w:rPr>
          <w:rFonts w:hint="eastAsia" w:ascii="楷体" w:hAnsi="楷体" w:eastAsia="楷体" w:cs="楷体"/>
          <w:color w:val="000000"/>
          <w:sz w:val="28"/>
          <w:szCs w:val="28"/>
        </w:rPr>
        <w:t>训练数据、评估报告云端存储，支持一键导出、打印；</w:t>
      </w:r>
    </w:p>
    <w:p w14:paraId="1E2871A9">
      <w:pPr>
        <w:spacing w:before="17" w:after="0" w:line="359" w:lineRule="auto"/>
        <w:jc w:val="both"/>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13.</w:t>
      </w:r>
      <w:r>
        <w:rPr>
          <w:rFonts w:hint="eastAsia" w:ascii="楷体" w:hAnsi="楷体" w:eastAsia="楷体" w:cs="楷体"/>
          <w:color w:val="000000"/>
          <w:sz w:val="28"/>
          <w:szCs w:val="28"/>
        </w:rPr>
        <w:t>系统内置不少于50个临床典型病例，同时系统提供后台管理功能，教师可根据自身教学需要自行新增编辑问诊教学案例。</w:t>
      </w:r>
    </w:p>
    <w:p w14:paraId="7DB47CC5">
      <w:pPr>
        <w:spacing w:before="17" w:after="0" w:line="359" w:lineRule="auto"/>
        <w:jc w:val="both"/>
        <w:rPr>
          <w:rFonts w:hint="eastAsia" w:ascii="楷体" w:hAnsi="楷体" w:eastAsia="楷体" w:cs="楷体"/>
          <w:color w:val="000000"/>
          <w:sz w:val="28"/>
          <w:szCs w:val="28"/>
          <w:lang w:val="en-US" w:eastAsia="zh-CN"/>
        </w:rPr>
      </w:pPr>
      <w:r>
        <w:rPr>
          <w:rFonts w:hint="eastAsia" w:ascii="楷体" w:hAnsi="楷体" w:eastAsia="楷体" w:cs="楷体"/>
          <w:color w:val="000000"/>
          <w:sz w:val="28"/>
          <w:szCs w:val="28"/>
          <w:lang w:val="en-US" w:eastAsia="zh-CN"/>
        </w:rPr>
        <w:t>二、系统配置</w:t>
      </w:r>
    </w:p>
    <w:p w14:paraId="61FC5BA6">
      <w:pPr>
        <w:spacing w:before="17" w:after="0" w:line="359" w:lineRule="auto"/>
        <w:jc w:val="both"/>
        <w:rPr>
          <w:rFonts w:hint="eastAsia" w:ascii="楷体" w:hAnsi="楷体" w:eastAsia="楷体" w:cs="楷体"/>
          <w:color w:val="000000"/>
          <w:sz w:val="28"/>
          <w:szCs w:val="28"/>
          <w:lang w:val="en-US" w:eastAsia="zh-CN"/>
        </w:rPr>
      </w:pPr>
      <w:r>
        <w:rPr>
          <w:rFonts w:hint="eastAsia" w:ascii="楷体" w:hAnsi="楷体" w:eastAsia="楷体" w:cs="楷体"/>
          <w:color w:val="000000"/>
          <w:sz w:val="28"/>
          <w:szCs w:val="28"/>
          <w:lang w:val="en-US" w:eastAsia="zh-CN"/>
        </w:rPr>
        <w:t>（1）AIVSP系统软件1（示教版）套；</w:t>
      </w:r>
    </w:p>
    <w:p w14:paraId="4E0705C0">
      <w:pPr>
        <w:spacing w:before="17" w:after="0" w:line="359" w:lineRule="auto"/>
        <w:jc w:val="both"/>
        <w:rPr>
          <w:rFonts w:hint="eastAsia" w:ascii="楷体" w:hAnsi="楷体" w:eastAsia="楷体" w:cs="楷体"/>
          <w:color w:val="000000"/>
          <w:sz w:val="28"/>
          <w:szCs w:val="28"/>
          <w:lang w:val="en-US" w:eastAsia="zh-CN"/>
        </w:rPr>
      </w:pPr>
      <w:r>
        <w:rPr>
          <w:rFonts w:hint="eastAsia" w:ascii="楷体" w:hAnsi="楷体" w:eastAsia="楷体" w:cs="楷体"/>
          <w:color w:val="000000"/>
          <w:sz w:val="28"/>
          <w:szCs w:val="28"/>
          <w:lang w:val="en-US" w:eastAsia="zh-CN"/>
        </w:rPr>
        <w:t>（2）高配触摸一体机1台（CPU：不低于i5-14500，内存：不小于8G，硬盘：不小于512G，独立显卡：不低于RX6500M，屏幕尺寸：不小于 23.8英寸触控屏）；</w:t>
      </w:r>
    </w:p>
    <w:p w14:paraId="0ABF7B59">
      <w:pPr>
        <w:spacing w:before="17" w:after="0" w:line="359" w:lineRule="auto"/>
        <w:jc w:val="both"/>
        <w:rPr>
          <w:rFonts w:hint="eastAsia" w:ascii="楷体" w:hAnsi="楷体" w:eastAsia="楷体" w:cs="楷体"/>
          <w:color w:val="000000"/>
          <w:sz w:val="28"/>
          <w:szCs w:val="28"/>
          <w:lang w:val="en-US" w:eastAsia="zh-CN"/>
        </w:rPr>
      </w:pPr>
      <w:r>
        <w:rPr>
          <w:rFonts w:hint="eastAsia" w:ascii="楷体" w:hAnsi="楷体" w:eastAsia="楷体" w:cs="楷体"/>
          <w:color w:val="000000"/>
          <w:sz w:val="28"/>
          <w:szCs w:val="28"/>
          <w:lang w:val="en-US" w:eastAsia="zh-CN"/>
        </w:rPr>
        <w:t>（3）USB全向阵列麦克风1台；</w:t>
      </w:r>
    </w:p>
    <w:p w14:paraId="4C531DB2">
      <w:pPr>
        <w:spacing w:before="17" w:after="0" w:line="359" w:lineRule="auto"/>
        <w:jc w:val="both"/>
        <w:rPr>
          <w:rFonts w:hint="eastAsia" w:ascii="楷体" w:hAnsi="楷体" w:eastAsia="楷体" w:cs="楷体"/>
          <w:color w:val="000000"/>
          <w:sz w:val="28"/>
          <w:szCs w:val="28"/>
          <w:lang w:val="en-US" w:eastAsia="zh-CN"/>
        </w:rPr>
      </w:pPr>
      <w:r>
        <w:rPr>
          <w:rFonts w:hint="eastAsia" w:ascii="楷体" w:hAnsi="楷体" w:eastAsia="楷体" w:cs="楷体"/>
          <w:color w:val="000000"/>
          <w:sz w:val="28"/>
          <w:szCs w:val="28"/>
          <w:lang w:val="en-US" w:eastAsia="zh-CN"/>
        </w:rPr>
        <w:t>（4）55寸高清显示器1台；</w:t>
      </w:r>
    </w:p>
    <w:p w14:paraId="3F4405C5">
      <w:pPr>
        <w:spacing w:before="17" w:after="0" w:line="359" w:lineRule="auto"/>
        <w:jc w:val="both"/>
        <w:rPr>
          <w:rFonts w:hint="eastAsia" w:ascii="楷体" w:hAnsi="楷体" w:eastAsia="楷体" w:cs="楷体"/>
          <w:color w:val="000000"/>
          <w:sz w:val="28"/>
          <w:szCs w:val="28"/>
          <w:lang w:val="en-US" w:eastAsia="zh-CN"/>
        </w:rPr>
      </w:pPr>
      <w:r>
        <w:rPr>
          <w:rFonts w:hint="eastAsia" w:ascii="楷体" w:hAnsi="楷体" w:eastAsia="楷体" w:cs="楷体"/>
          <w:color w:val="000000"/>
          <w:sz w:val="28"/>
          <w:szCs w:val="28"/>
          <w:lang w:val="en-US" w:eastAsia="zh-CN"/>
        </w:rPr>
        <w:t>（5）可移动显示器支架1套；</w:t>
      </w:r>
    </w:p>
    <w:p w14:paraId="358710E3">
      <w:pPr>
        <w:spacing w:before="17" w:after="0" w:line="359" w:lineRule="auto"/>
        <w:jc w:val="both"/>
        <w:rPr>
          <w:rFonts w:hint="eastAsia" w:ascii="楷体" w:hAnsi="楷体" w:eastAsia="楷体" w:cs="楷体"/>
          <w:color w:val="000000"/>
          <w:sz w:val="28"/>
          <w:szCs w:val="28"/>
          <w:lang w:val="en-US" w:eastAsia="zh-CN"/>
        </w:rPr>
      </w:pPr>
      <w:r>
        <w:rPr>
          <w:rFonts w:hint="eastAsia" w:ascii="楷体" w:hAnsi="楷体" w:eastAsia="楷体" w:cs="楷体"/>
          <w:color w:val="000000"/>
          <w:sz w:val="28"/>
          <w:szCs w:val="28"/>
          <w:lang w:val="en-US" w:eastAsia="zh-CN"/>
        </w:rPr>
        <w:t>（6）高清摄像头1个；</w:t>
      </w:r>
    </w:p>
    <w:p w14:paraId="2CE64FB3">
      <w:pPr>
        <w:spacing w:before="17" w:after="0" w:line="359" w:lineRule="auto"/>
        <w:jc w:val="both"/>
        <w:rPr>
          <w:rFonts w:hint="eastAsia" w:ascii="宋体" w:hAnsi="宋体" w:eastAsia="宋体"/>
          <w:color w:val="000000"/>
          <w:sz w:val="28"/>
          <w:szCs w:val="28"/>
          <w:lang w:val="en-US" w:eastAsia="zh-CN"/>
        </w:rPr>
      </w:pPr>
    </w:p>
    <w:p w14:paraId="2015028C">
      <w:pPr>
        <w:spacing w:before="17" w:after="0" w:line="359" w:lineRule="auto"/>
        <w:jc w:val="both"/>
        <w:rPr>
          <w:rFonts w:hint="eastAsia" w:ascii="宋体" w:hAnsi="宋体" w:eastAsia="宋体"/>
          <w:color w:val="000000"/>
          <w:sz w:val="28"/>
          <w:szCs w:val="28"/>
          <w:lang w:val="en-US" w:eastAsia="zh-CN"/>
        </w:rPr>
      </w:pPr>
    </w:p>
    <w:p w14:paraId="562B5A4E">
      <w:pPr>
        <w:spacing w:before="17" w:after="0" w:line="359" w:lineRule="auto"/>
        <w:jc w:val="both"/>
        <w:rPr>
          <w:rFonts w:hint="eastAsia" w:ascii="宋体" w:hAnsi="宋体" w:eastAsia="宋体"/>
          <w:color w:val="000000"/>
          <w:sz w:val="28"/>
          <w:szCs w:val="28"/>
          <w:lang w:val="en-US" w:eastAsia="zh-CN"/>
        </w:rPr>
      </w:pPr>
    </w:p>
    <w:p w14:paraId="54B4D1AE">
      <w:pPr>
        <w:spacing w:before="17" w:after="0" w:line="359" w:lineRule="auto"/>
        <w:jc w:val="both"/>
        <w:rPr>
          <w:rFonts w:hint="default" w:ascii="宋体" w:hAnsi="宋体" w:eastAsia="宋体"/>
          <w:color w:val="000000"/>
          <w:sz w:val="28"/>
          <w:szCs w:val="28"/>
          <w:lang w:val="en-US" w:eastAsia="zh-CN"/>
        </w:rPr>
      </w:pPr>
    </w:p>
    <w:sectPr>
      <w:footerReference r:id="rId3" w:type="default"/>
      <w:type w:val="continuous"/>
      <w:pgSz w:w="11900" w:h="18260"/>
      <w:pgMar w:top="1440" w:right="1200" w:bottom="2880" w:left="1200" w:header="720" w:footer="144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CE31F4">
    <w:pPr>
      <w:spacing w:line="359" w:lineRule="auto"/>
      <w:jc w:val="center"/>
      <w:rPr>
        <w:rFonts w:hint="eastAsia" w:eastAsia="宋体"/>
        <w:lang w:val="en-US" w:eastAsia="zh-CN"/>
      </w:rPr>
    </w:pPr>
    <w:r>
      <w:rPr>
        <w:rFonts w:hint="eastAsia" w:ascii="Calibri" w:hAnsi="Calibri" w:eastAsia="宋体"/>
        <w:color w:val="000000"/>
        <w:sz w:val="34"/>
        <w:lang w:val="en-US" w:eastAsia="zh-CN"/>
      </w:rPr>
      <w:t>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BC8"/>
    <w:rsid w:val="000D6051"/>
    <w:rsid w:val="009F0BE0"/>
    <w:rsid w:val="00BA6D97"/>
    <w:rsid w:val="00BD0BC8"/>
    <w:rsid w:val="0E250204"/>
    <w:rsid w:val="0E5261FB"/>
    <w:rsid w:val="14F45F4B"/>
    <w:rsid w:val="1DD26A86"/>
    <w:rsid w:val="3421112C"/>
    <w:rsid w:val="51BE389E"/>
    <w:rsid w:val="532760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5">
    <w:name w:val="Body Text First Indent"/>
    <w:basedOn w:val="2"/>
    <w:qFormat/>
    <w:uiPriority w:val="0"/>
    <w:pPr>
      <w:ind w:firstLine="420"/>
    </w:pPr>
    <w:rPr>
      <w:rFonts w:eastAsia="楷体_GB2312"/>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736</Words>
  <Characters>785</Characters>
  <TotalTime>3</TotalTime>
  <ScaleCrop>false</ScaleCrop>
  <LinksUpToDate>false</LinksUpToDate>
  <CharactersWithSpaces>786</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2024-12-05T09:07:00Z</dcterms:created>
  <dc:creator>INTSIG</dc:creator>
  <dc:description>Intsig Word Converter</dc:description>
  <cp:lastModifiedBy>夏晓</cp:lastModifiedBy>
  <dcterms:modified xsi:type="dcterms:W3CDTF">2025-06-05T01:15:35Z</dcterms:modified>
  <dc:title>wordbuilder</dc:titl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5EE95257FB204224B7CB61ACB8AF236E_12</vt:lpwstr>
  </property>
  <property fmtid="{D5CDD505-2E9C-101B-9397-08002B2CF9AE}" pid="4" name="KSOTemplateDocerSaveRecord">
    <vt:lpwstr>eyJoZGlkIjoiZWFjZjExYjZjODFiZWIwZWUyOGU2YjdkNDBjNjNmNWIiLCJ1c2VySWQiOiIzNjUwNjI2NDUifQ==</vt:lpwstr>
  </property>
</Properties>
</file>