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9922C0">
      <w:pPr>
        <w:rPr>
          <w:rFonts w:hint="default" w:ascii="Times New Roman" w:hAnsi="Times New Roman" w:eastAsia="宋体" w:cs="Times New Roman"/>
          <w:color w:val="000000"/>
          <w:kern w:val="0"/>
          <w:sz w:val="36"/>
          <w:szCs w:val="36"/>
          <w:lang w:val="en-US" w:eastAsia="zh-Hans" w:bidi="ar-SA"/>
        </w:rPr>
      </w:pPr>
      <w:r>
        <w:rPr>
          <w:rFonts w:hint="eastAsia" w:ascii="Times New Roman" w:hAnsi="Times New Roman" w:eastAsia="宋体" w:cs="Times New Roman"/>
          <w:color w:val="000000"/>
          <w:kern w:val="0"/>
          <w:sz w:val="36"/>
          <w:szCs w:val="36"/>
          <w:lang w:val="en-US" w:eastAsia="zh-CN" w:bidi="ar-SA"/>
        </w:rPr>
        <w:t>附件1：服务器需求参数</w:t>
      </w:r>
    </w:p>
    <w:tbl>
      <w:tblPr>
        <w:tblStyle w:val="5"/>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276"/>
        <w:gridCol w:w="6379"/>
      </w:tblGrid>
      <w:tr w14:paraId="3112B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0F6D9CDF">
            <w:pPr>
              <w:pStyle w:val="2"/>
              <w:spacing w:line="360" w:lineRule="auto"/>
              <w:rPr>
                <w:rFonts w:ascii="Times New Roman"/>
                <w:sz w:val="21"/>
                <w:szCs w:val="21"/>
              </w:rPr>
            </w:pPr>
            <w:r>
              <w:rPr>
                <w:rFonts w:ascii="Times New Roman"/>
                <w:sz w:val="21"/>
                <w:szCs w:val="21"/>
              </w:rPr>
              <w:t>序号</w:t>
            </w:r>
          </w:p>
        </w:tc>
        <w:tc>
          <w:tcPr>
            <w:tcW w:w="1276" w:type="dxa"/>
          </w:tcPr>
          <w:p w14:paraId="7CA95B56">
            <w:pPr>
              <w:pStyle w:val="2"/>
              <w:spacing w:line="360" w:lineRule="auto"/>
              <w:rPr>
                <w:rFonts w:ascii="Times New Roman"/>
                <w:sz w:val="21"/>
                <w:szCs w:val="21"/>
              </w:rPr>
            </w:pPr>
            <w:r>
              <w:rPr>
                <w:rFonts w:ascii="Times New Roman"/>
                <w:sz w:val="21"/>
                <w:szCs w:val="21"/>
              </w:rPr>
              <w:t>产品名称</w:t>
            </w:r>
          </w:p>
        </w:tc>
        <w:tc>
          <w:tcPr>
            <w:tcW w:w="6379" w:type="dxa"/>
          </w:tcPr>
          <w:p w14:paraId="413CAC28">
            <w:pPr>
              <w:pStyle w:val="2"/>
              <w:spacing w:line="360" w:lineRule="auto"/>
              <w:rPr>
                <w:rFonts w:ascii="Times New Roman"/>
                <w:sz w:val="21"/>
                <w:szCs w:val="21"/>
              </w:rPr>
            </w:pPr>
            <w:r>
              <w:rPr>
                <w:rFonts w:ascii="Times New Roman"/>
                <w:sz w:val="21"/>
                <w:szCs w:val="21"/>
              </w:rPr>
              <w:t>技术参数与性能指标</w:t>
            </w:r>
          </w:p>
        </w:tc>
      </w:tr>
      <w:tr w14:paraId="790E5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60DA0087">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w:t>
            </w:r>
          </w:p>
        </w:tc>
        <w:tc>
          <w:tcPr>
            <w:tcW w:w="1276" w:type="dxa"/>
          </w:tcPr>
          <w:p w14:paraId="5CAD3357">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分布式节点</w:t>
            </w:r>
          </w:p>
        </w:tc>
        <w:tc>
          <w:tcPr>
            <w:tcW w:w="6379" w:type="dxa"/>
          </w:tcPr>
          <w:p w14:paraId="7B7A44A7">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1、设备外形：机架式；</w:t>
            </w:r>
          </w:p>
          <w:p w14:paraId="0D128E46">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2、设备高度：≥2U，标配原厂导轨；</w:t>
            </w:r>
          </w:p>
          <w:p w14:paraId="76694720">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3、 CPU性能 ：数量不低于2颗，主频不低于2.1GHz，单颗核心数量不低于二十四核心，可支持最高270W处理器；</w:t>
            </w:r>
          </w:p>
          <w:p w14:paraId="27B44530">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4、内存实配规格：≥1TB 3200MHz DDR4；</w:t>
            </w:r>
          </w:p>
          <w:p w14:paraId="4DA6B471">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5、内存可扩展数量：最大支持32根DDR4内存，最高速率3200MT/s，支持RDIMM或LRDIMM，支持16根最大可支持内存容量12TB以上；</w:t>
            </w:r>
          </w:p>
          <w:p w14:paraId="197A0437">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6、实配硬盘及托架：≥12*3.84TB 6G SATA 2.5 SSD 硬盘；配置硬盘扩展插槽及背板≥25个；</w:t>
            </w:r>
          </w:p>
          <w:p w14:paraId="0504E4BB">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7、硬盘槽位：支持41个硬盘（37个2.5英寸硬盘，4个3.5英寸硬盘），支持20个3.5英寸硬盘（12个前置，4个内部扩展，4个后部扩展）及4个2.5寸硬盘（后部扩展），支持37个2.5英寸硬盘（25个前置，8个内部扩展，4个后部扩展），支持SAS/SATA HDD/SSD硬盘；支持前置/内置NVMe硬盘，支持32个NVMe硬盘插槽1，支持PCIe NVMe存储加速卡，支持SATA和PCIe M.2选件，支持2个Micro SD卡套件；</w:t>
            </w:r>
          </w:p>
          <w:p w14:paraId="601C93C2">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8、阵列控制器：≥配置1个标准PCIe槽位阵列卡，支持RAID0/1/10/5/6/50/60/1E/Simple Volume，≥2GB缓存，支持缓存数据保护，配置掉电保护模块；</w:t>
            </w:r>
          </w:p>
          <w:p w14:paraId="2032D188">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9、PCI I/O插槽 ：提供≥15个PCIE4.0速率插槽（其中包含14个PCIe4.0标准插槽和1个OCP3.0插槽）；</w:t>
            </w:r>
          </w:p>
          <w:p w14:paraId="3B35F635">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10、网卡：≥2个 x16 OCP3.0插槽，配置一个OCP3.0插槽，≥2个2端口万兆光接口网卡（配模块），≥4个千兆电口网卡；</w:t>
            </w:r>
          </w:p>
          <w:p w14:paraId="73185708">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11、前部接口：≥2个USB3.0、≥1个VGA；后部接口：≥2个USB3.0; ≥1个串口；≥1个VGA；内置接口：≥2个USB3.0；</w:t>
            </w:r>
          </w:p>
          <w:p w14:paraId="098F6899">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12、冗余电源：2个≥550w白金版热插拔冗余电源，支持96%能效比的钛金级电源选件；</w:t>
            </w:r>
          </w:p>
          <w:p w14:paraId="32259D9C">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w:t>
            </w:r>
            <w:r>
              <w:rPr>
                <w:rFonts w:hint="default" w:ascii="Times New Roman" w:hAnsi="Times New Roman" w:eastAsia="宋体" w:cs="Times New Roman"/>
                <w:color w:val="000000"/>
                <w:sz w:val="24"/>
                <w:lang w:eastAsia="zh-CN"/>
              </w:rPr>
              <w:t>3</w:t>
            </w:r>
            <w:r>
              <w:rPr>
                <w:rFonts w:hint="default" w:ascii="Times New Roman" w:hAnsi="Times New Roman" w:eastAsia="宋体" w:cs="Times New Roman"/>
                <w:color w:val="000000"/>
                <w:sz w:val="24"/>
              </w:rPr>
              <w:t>、负责分布式系统节点部署、分布式系统节点配置升级、计算资源平台扩容及全闪双活存储系统扩容实施，升级或扩容完后进行完好性测试及有效的监控机制确立等。每一步工作都需要制定周密计划、步骤并严格按照该计划、步骤实施。1</w:t>
            </w:r>
            <w:r>
              <w:rPr>
                <w:rFonts w:hint="default" w:ascii="Times New Roman" w:hAnsi="Times New Roman" w:eastAsia="宋体" w:cs="Times New Roman"/>
                <w:color w:val="000000"/>
                <w:sz w:val="24"/>
                <w:lang w:eastAsia="zh-CN"/>
              </w:rPr>
              <w:t>4</w:t>
            </w:r>
            <w:r>
              <w:rPr>
                <w:rFonts w:hint="default" w:ascii="Times New Roman" w:hAnsi="Times New Roman" w:eastAsia="宋体" w:cs="Times New Roman"/>
                <w:color w:val="000000"/>
                <w:sz w:val="24"/>
              </w:rPr>
              <w:t>、管理：HDM无代理管理工具 (带独立管理端口) ，支持LCD可触摸智能管理模块，支持64M本地显存，支持数据中心管理平台；</w:t>
            </w:r>
          </w:p>
          <w:p w14:paraId="1EA785C9">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w:t>
            </w:r>
            <w:r>
              <w:rPr>
                <w:rFonts w:hint="default" w:ascii="Times New Roman" w:hAnsi="Times New Roman" w:eastAsia="宋体" w:cs="Times New Roman"/>
                <w:color w:val="000000"/>
                <w:sz w:val="24"/>
                <w:lang w:eastAsia="zh-CN"/>
              </w:rPr>
              <w:t>5</w:t>
            </w:r>
            <w:r>
              <w:rPr>
                <w:rFonts w:hint="default" w:ascii="Times New Roman" w:hAnsi="Times New Roman" w:eastAsia="宋体" w:cs="Times New Roman"/>
                <w:color w:val="000000"/>
                <w:sz w:val="24"/>
              </w:rPr>
              <w:t>、远程管理功能（管理安全、自定义用户权限组、安全面板） ：配置≥1Gb独立的远程管理控制端口，配置虚拟KVM功能, 可实现与操作系统无关的远程对设备的完全控制，包括远程的开机、关机、重启、更新Firmware、虚拟光驱、虚拟文件夹等操作，提供设备健康日记、设备控制台录屏/回放功能，能够提供电源监控，支持查看温度海洋图、热力图和传感器信息；</w:t>
            </w:r>
          </w:p>
          <w:p w14:paraId="4E1B21B2">
            <w:pPr>
              <w:pStyle w:val="7"/>
              <w:jc w:val="both"/>
              <w:rPr>
                <w:rFonts w:hint="default"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16、提供设备5年质保</w:t>
            </w:r>
          </w:p>
        </w:tc>
      </w:tr>
      <w:tr w14:paraId="06049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05A15FB2">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2</w:t>
            </w:r>
          </w:p>
        </w:tc>
        <w:tc>
          <w:tcPr>
            <w:tcW w:w="1276" w:type="dxa"/>
          </w:tcPr>
          <w:p w14:paraId="4E583112">
            <w:pPr>
              <w:pStyle w:val="7"/>
              <w:jc w:val="both"/>
              <w:rPr>
                <w:rFonts w:hint="default" w:ascii="Times New Roman" w:hAnsi="Times New Roman" w:eastAsia="宋体" w:cs="Times New Roman"/>
                <w:color w:val="000000"/>
                <w:sz w:val="24"/>
              </w:rPr>
            </w:pPr>
            <w:r>
              <w:rPr>
                <w:rFonts w:hint="eastAsia" w:ascii="Times New Roman" w:hAnsi="Times New Roman" w:eastAsia="宋体" w:cs="Times New Roman"/>
                <w:color w:val="000000"/>
                <w:sz w:val="24"/>
                <w:lang w:val="en-US" w:eastAsia="zh-CN"/>
              </w:rPr>
              <w:t>交换机</w:t>
            </w:r>
          </w:p>
        </w:tc>
        <w:tc>
          <w:tcPr>
            <w:tcW w:w="6379" w:type="dxa"/>
          </w:tcPr>
          <w:p w14:paraId="498C26C8">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1、背板带宽≥2.56Tbps；</w:t>
            </w:r>
          </w:p>
          <w:p w14:paraId="1937D623">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2、包转发率：≥1080Mpps；</w:t>
            </w:r>
          </w:p>
          <w:p w14:paraId="383AC899">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3、接口配置：≥48个SFP+接口（满配多模SPF+光纤模块），≥2个QSFP+接口；</w:t>
            </w:r>
          </w:p>
          <w:p w14:paraId="4BF59354">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4、电源配置：≥2个模块化电源；</w:t>
            </w:r>
          </w:p>
          <w:p w14:paraId="04928382">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5、功能配置：支持横向虚拟化功能（堆叠）；支持IPv4/Ipv6静态路由、RIPv1/v2、OSPFv1/v2等常规路由协议。</w:t>
            </w:r>
          </w:p>
          <w:p w14:paraId="6AA0CF7D">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6、支持M-LAG（MultichassisLinkAggregationGroup）跨设备链路聚合技术；</w:t>
            </w:r>
          </w:p>
          <w:p w14:paraId="38D42EDC">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7、支持网络虚拟化技术，能将多台设备堆叠为一套系统进行管理，提供2条≥50CM堆叠线缆；</w:t>
            </w:r>
          </w:p>
          <w:p w14:paraId="667AE6A7">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8、支持内置智能图形化管理功能，能够实现通过图形化界面设备配置及命令一键下发和版本智能升级，全局配置及网管口配置，设备升级备份、监控及设备故障替换，组网拓扑可视及管理、设备列表展示等功能。</w:t>
            </w:r>
          </w:p>
          <w:p w14:paraId="64555E1D">
            <w:pPr>
              <w:pStyle w:val="7"/>
              <w:jc w:val="both"/>
              <w:rPr>
                <w:rFonts w:hint="default" w:ascii="Times New Roman" w:hAnsi="Times New Roman" w:eastAsia="宋体" w:cs="Times New Roman"/>
                <w:color w:val="000000"/>
                <w:sz w:val="24"/>
              </w:rPr>
            </w:pPr>
            <w:r>
              <w:rPr>
                <w:rFonts w:hint="eastAsia" w:ascii="Times New Roman" w:hAnsi="Times New Roman" w:eastAsia="宋体" w:cs="Times New Roman"/>
                <w:color w:val="000000"/>
                <w:sz w:val="24"/>
                <w:lang w:val="en-US" w:eastAsia="zh-CN"/>
              </w:rPr>
              <w:t>9、提供设备5年质保</w:t>
            </w:r>
          </w:p>
        </w:tc>
      </w:tr>
      <w:tr w14:paraId="2E4CF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C65C79">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3</w:t>
            </w:r>
          </w:p>
        </w:tc>
        <w:tc>
          <w:tcPr>
            <w:tcW w:w="1276" w:type="dxa"/>
            <w:vAlign w:val="center"/>
          </w:tcPr>
          <w:p w14:paraId="1A0410C2">
            <w:pPr>
              <w:pStyle w:val="7"/>
              <w:jc w:val="both"/>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rPr>
              <w:t>数据迁移服务及备份恢复</w:t>
            </w:r>
          </w:p>
        </w:tc>
        <w:tc>
          <w:tcPr>
            <w:tcW w:w="6379" w:type="dxa"/>
          </w:tcPr>
          <w:p w14:paraId="3EE263A9">
            <w:pPr>
              <w:pStyle w:val="7"/>
              <w:jc w:val="both"/>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rPr>
              <w:t>1、提供数据迁移实施服务，在保证业务数据安全的情况下，将原有分布式存储中的生产数据迁移到新扩容节点存储中，迁移过程中须保障业务不中断；</w:t>
            </w:r>
          </w:p>
          <w:p w14:paraId="47436104">
            <w:pPr>
              <w:pStyle w:val="7"/>
              <w:jc w:val="both"/>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lang w:eastAsia="zh-CN"/>
              </w:rPr>
              <w:t>2、数据迁移后需进行</w:t>
            </w:r>
            <w:r>
              <w:rPr>
                <w:rFonts w:hint="default" w:ascii="Times New Roman" w:hAnsi="Times New Roman" w:eastAsia="宋体" w:cs="Times New Roman"/>
                <w:color w:val="000000"/>
                <w:sz w:val="24"/>
              </w:rPr>
              <w:t>备份系统恢复工作，具备分布式环境下的备份恢复、复制和CDP功能。无代理方式备份、复制虚拟机及关键应用。</w:t>
            </w:r>
          </w:p>
          <w:p w14:paraId="5E169670">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lang w:eastAsia="zh-CN"/>
              </w:rPr>
              <w:t>3</w:t>
            </w:r>
            <w:r>
              <w:rPr>
                <w:rFonts w:hint="default" w:ascii="Times New Roman" w:hAnsi="Times New Roman" w:eastAsia="宋体" w:cs="Times New Roman"/>
                <w:color w:val="000000"/>
                <w:sz w:val="24"/>
              </w:rPr>
              <w:t>、为了保证整个医院业务正常稳定运行，在执行扩容期间可能存在资源不够的情况，供应商需提供必要的计算、存储资源。</w:t>
            </w:r>
          </w:p>
          <w:p w14:paraId="5C5B03F6">
            <w:pPr>
              <w:pStyle w:val="7"/>
              <w:jc w:val="both"/>
              <w:rPr>
                <w:rFonts w:hint="default"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4、提供设备5年质保</w:t>
            </w:r>
          </w:p>
        </w:tc>
      </w:tr>
      <w:tr w14:paraId="0299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4BBE5B">
            <w:pPr>
              <w:pStyle w:val="7"/>
              <w:jc w:val="both"/>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lang w:eastAsia="zh-CN"/>
              </w:rPr>
              <w:t>4</w:t>
            </w:r>
          </w:p>
        </w:tc>
        <w:tc>
          <w:tcPr>
            <w:tcW w:w="1276" w:type="dxa"/>
            <w:vAlign w:val="center"/>
          </w:tcPr>
          <w:p w14:paraId="16A6B776">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安全运营服务</w:t>
            </w:r>
          </w:p>
        </w:tc>
        <w:tc>
          <w:tcPr>
            <w:tcW w:w="6379" w:type="dxa"/>
          </w:tcPr>
          <w:p w14:paraId="3D41F3C1">
            <w:pPr>
              <w:rPr>
                <w:rFonts w:ascii="Times New Roman"/>
                <w:color w:val="000000"/>
                <w:sz w:val="24"/>
              </w:rPr>
            </w:pPr>
            <w:r>
              <w:rPr>
                <w:rFonts w:ascii="Times New Roman"/>
                <w:color w:val="000000"/>
                <w:sz w:val="24"/>
              </w:rPr>
              <w:t>1、提供1套安全运营协作平台服务，具备威胁攻击发现子系统、威胁分析研判子系统、安全响应处置子系统、工作协同子系统；提供终端安全运维工具及终端安全监测、预警服务，专家团队对终端产生的告警信息进行持续监测和研判分析，精准识别出真实的攻击行为，及时将威胁预警和解决方案推送至客户，并协助客户远程进行事件处置工作。授权终端安全运维工具数≥30个点，每月输出当月服务报告；</w:t>
            </w:r>
          </w:p>
          <w:p w14:paraId="7BEE2D95">
            <w:pPr>
              <w:rPr>
                <w:rFonts w:ascii="Times New Roman"/>
                <w:color w:val="000000"/>
                <w:sz w:val="24"/>
              </w:rPr>
            </w:pPr>
            <w:r>
              <w:rPr>
                <w:rFonts w:ascii="Times New Roman"/>
                <w:color w:val="000000"/>
                <w:sz w:val="24"/>
              </w:rPr>
              <w:t>2、安全运营协作平台提供对所有告警信息的全面管理，并支持攻击类型的可视化展示，使用户能够直观识别和高效应对各类安全威胁；</w:t>
            </w:r>
          </w:p>
          <w:p w14:paraId="2FC59E77">
            <w:pPr>
              <w:rPr>
                <w:rFonts w:ascii="Times New Roman"/>
                <w:color w:val="000000"/>
                <w:sz w:val="24"/>
              </w:rPr>
            </w:pPr>
            <w:r>
              <w:rPr>
                <w:rFonts w:ascii="Times New Roman"/>
                <w:color w:val="000000"/>
                <w:sz w:val="24"/>
              </w:rPr>
              <w:t>3、安全运营协作平台具备白盒化分析能力，支持分析过程的动态实时同步。处置记录以跟帖形式呈现，能够清晰展示工单处理过程中各节点的运营工程师及客户的反馈意见；</w:t>
            </w:r>
          </w:p>
          <w:p w14:paraId="5FDCCAA8">
            <w:pPr>
              <w:rPr>
                <w:rFonts w:ascii="Times New Roman"/>
                <w:color w:val="000000"/>
                <w:sz w:val="24"/>
              </w:rPr>
            </w:pPr>
            <w:r>
              <w:rPr>
                <w:rFonts w:ascii="Times New Roman"/>
                <w:color w:val="000000"/>
                <w:sz w:val="24"/>
              </w:rPr>
              <w:t>4、安全运营协作平台具备白盒化的处置过程，支持动态实时同步的处置环节，并能全程锁定跟踪至闭环。系统自动匹配告警处置预案，并推送处置结果及处置意见；</w:t>
            </w:r>
          </w:p>
          <w:p w14:paraId="024CF1E0">
            <w:pPr>
              <w:rPr>
                <w:rFonts w:ascii="Times New Roman"/>
                <w:color w:val="000000"/>
                <w:sz w:val="24"/>
              </w:rPr>
            </w:pPr>
            <w:r>
              <w:rPr>
                <w:rFonts w:ascii="Times New Roman"/>
                <w:color w:val="000000"/>
                <w:sz w:val="24"/>
              </w:rPr>
              <w:t>5、安全运营协作平台具备集成即时沟通、服务态势、协同动态、安全报告、安全云订阅、其他安全运营服务项及应用访问集成；</w:t>
            </w:r>
          </w:p>
          <w:p w14:paraId="33AA13F5">
            <w:pPr>
              <w:rPr>
                <w:rFonts w:ascii="Times New Roman"/>
                <w:color w:val="000000"/>
                <w:sz w:val="24"/>
              </w:rPr>
            </w:pPr>
            <w:r>
              <w:rPr>
                <w:rFonts w:ascii="Times New Roman"/>
                <w:color w:val="000000"/>
                <w:sz w:val="24"/>
              </w:rPr>
              <w:t>6、终端安全运维工具支持多类型操作系统同台管理，包括但不限于 Windows XP_SP3/Windows Vista ultimate/Windows 7/Windows 8/Windows 10，以及macOS 10.12/10.13/10.14/10.15。支持对国产终端进行统一管理，包括但不限于麒麟V10/麒麟V10 SP1/统信UOS。支持CentOS 6.10/7.7/7.9，Ubuntu 16.04 LTS/18.04.4 LTS/20、龙蜥操作系统等；</w:t>
            </w:r>
          </w:p>
          <w:p w14:paraId="3BC48866">
            <w:pPr>
              <w:rPr>
                <w:rFonts w:ascii="Times New Roman"/>
                <w:color w:val="000000"/>
                <w:sz w:val="24"/>
              </w:rPr>
            </w:pPr>
            <w:r>
              <w:rPr>
                <w:rFonts w:ascii="Times New Roman"/>
                <w:color w:val="000000"/>
                <w:sz w:val="24"/>
              </w:rPr>
              <w:t>7、终端安全运维工具具备云端样本鉴定能力，云端具备300亿+样本数据，有效针对各种病毒文件进行查杀；</w:t>
            </w:r>
          </w:p>
          <w:p w14:paraId="6461F182">
            <w:pPr>
              <w:rPr>
                <w:rFonts w:ascii="Times New Roman"/>
                <w:color w:val="000000"/>
                <w:sz w:val="24"/>
              </w:rPr>
            </w:pPr>
            <w:r>
              <w:rPr>
                <w:rFonts w:ascii="Times New Roman"/>
                <w:color w:val="000000"/>
                <w:sz w:val="24"/>
              </w:rPr>
              <w:t>8、终端安全运维工具支持依据内网病毒查杀日志关联病毒家族/团伙信息，信息包括威胁类型、传播方式、特点、简介以及处置建议。每个家族/团伙所关联的病毒查杀记录；</w:t>
            </w:r>
          </w:p>
          <w:p w14:paraId="5361ECE9">
            <w:pPr>
              <w:rPr>
                <w:rFonts w:ascii="Times New Roman"/>
                <w:color w:val="000000"/>
                <w:sz w:val="24"/>
              </w:rPr>
            </w:pPr>
            <w:r>
              <w:rPr>
                <w:rFonts w:ascii="Times New Roman"/>
                <w:color w:val="000000"/>
                <w:sz w:val="24"/>
              </w:rPr>
              <w:t>9、终端安全运维工具支持针对域名、IP、URL、文件hash、邮箱地址等信息进行威胁查询，可获取风险评估、置信度、情报聚合等信息；</w:t>
            </w:r>
          </w:p>
          <w:p w14:paraId="0A4B46D7">
            <w:pPr>
              <w:rPr>
                <w:rFonts w:ascii="Times New Roman"/>
                <w:color w:val="000000"/>
                <w:sz w:val="24"/>
              </w:rPr>
            </w:pPr>
            <w:r>
              <w:rPr>
                <w:rFonts w:ascii="Times New Roman"/>
                <w:color w:val="000000"/>
                <w:sz w:val="24"/>
              </w:rPr>
              <w:t>10、终端安全运维工具支持对日常办公文档进行云盘备份还原能力，支持对.wps、.doc、docx、xls、xlsx、ppt、pptx、pdf等文档进行自动备份，可以自定义备份格式。必要时，可将文件进行还原。备份方式包括修改前备份以及修改后定时备份，备份范围支持全盘备份和指定路径备份；</w:t>
            </w:r>
          </w:p>
          <w:p w14:paraId="38A8A260">
            <w:pPr>
              <w:rPr>
                <w:rFonts w:ascii="Times New Roman"/>
                <w:color w:val="000000"/>
                <w:sz w:val="24"/>
              </w:rPr>
            </w:pPr>
            <w:r>
              <w:rPr>
                <w:rFonts w:ascii="Times New Roman"/>
                <w:color w:val="000000"/>
                <w:sz w:val="24"/>
              </w:rPr>
              <w:t>11、安全运营协作平台支持利用安全大模型进行深度研判分析，提升对安全事件的识别和应对能力；</w:t>
            </w:r>
          </w:p>
          <w:p w14:paraId="69180225">
            <w:pPr>
              <w:rPr>
                <w:rFonts w:ascii="Times New Roman"/>
                <w:color w:val="000000"/>
                <w:sz w:val="24"/>
              </w:rPr>
            </w:pPr>
            <w:r>
              <w:rPr>
                <w:rFonts w:ascii="Times New Roman"/>
                <w:color w:val="000000"/>
                <w:sz w:val="24"/>
              </w:rPr>
              <w:t>12、安全运营协作平台支持通过安全大模型对服务报告进行解读，帮助客户理解报告中的关键信息和建议；</w:t>
            </w:r>
          </w:p>
          <w:p w14:paraId="09912434">
            <w:pPr>
              <w:pStyle w:val="7"/>
              <w:jc w:val="both"/>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13、提供集即时通讯、事件告警、事件处置等功能于一体的轻量级安全运营协作平台。客户可通过PC端或手机端接收和查看威胁预警信息，实时了解安全事件处理的进度和过程。</w:t>
            </w:r>
          </w:p>
          <w:p w14:paraId="144759A7">
            <w:pPr>
              <w:pStyle w:val="7"/>
              <w:jc w:val="both"/>
              <w:rPr>
                <w:rFonts w:hint="default"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lang w:val="en-US" w:eastAsia="zh-CN"/>
              </w:rPr>
              <w:t>14、提供设备5年质保</w:t>
            </w:r>
            <w:bookmarkStart w:id="0" w:name="_GoBack"/>
            <w:bookmarkEnd w:id="0"/>
          </w:p>
        </w:tc>
      </w:tr>
    </w:tbl>
    <w:p w14:paraId="2F3ECF36">
      <w:pPr>
        <w:pStyle w:val="3"/>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5735BA"/>
    <w:rsid w:val="19166537"/>
    <w:rsid w:val="1E796654"/>
    <w:rsid w:val="4A5735BA"/>
    <w:rsid w:val="4CA25468"/>
    <w:rsid w:val="5A554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kern w:val="0"/>
      <w:sz w:val="34"/>
      <w:szCs w:val="20"/>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引用1"/>
    <w:next w:val="1"/>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
    <w:name w:val="null3"/>
    <w:hidden/>
    <w:qFormat/>
    <w:uiPriority w:val="0"/>
    <w:rPr>
      <w:rFonts w:hint="eastAsia" w:asciiTheme="minorHAnsi" w:hAnsiTheme="minorHAnsi" w:eastAsiaTheme="minorEastAsia" w:cstheme="minorBidi"/>
      <w:kern w:val="0"/>
      <w:sz w:val="20"/>
      <w:szCs w:val="20"/>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2360</Words>
  <Characters>2878</Characters>
  <Lines>0</Lines>
  <Paragraphs>0</Paragraphs>
  <TotalTime>0</TotalTime>
  <ScaleCrop>false</ScaleCrop>
  <LinksUpToDate>false</LinksUpToDate>
  <CharactersWithSpaces>2914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2026-03-17T02:04:00Z</dcterms:created>
  <dc:creator>xxk</dc:creator>
  <cp:lastModifiedBy>吴世杰</cp:lastModifiedBy>
  <dcterms:modified xsi:type="dcterms:W3CDTF">2026-03-17T09:23:17Z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321E9941E7C2494190BFC6E48F18B2C0_13</vt:lpwstr>
  </property>
  <property fmtid="{D5CDD505-2E9C-101B-9397-08002B2CF9AE}" pid="4" name="KSOTemplateDocerSaveRecord">
    <vt:lpwstr>eyJoZGlkIjoiNGNmZTE3NTlhZWUzZWY4ZjBkMWFiMzRhMzlkOTc5ZDUiLCJ1c2VySWQiOiIxNDc5MjAxNDY2In0=</vt:lpwstr>
  </property>
</Properties>
</file>